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4D5EDD" w:rsidRPr="007C1A9D" w:rsidP="004D5EDD">
      <w:pPr>
        <w:spacing w:line="520" w:lineRule="exact"/>
        <w:ind w:left="-432" w:right="-346" w:leftChars="-135" w:rightChars="-108"/>
        <w:jc w:val="center"/>
        <w:rPr>
          <w:rFonts w:eastAsia="方正小标宋简体" w:hint="eastAsia"/>
          <w:bCs/>
          <w:color w:val="FF0000"/>
          <w:w w:val="80"/>
          <w:sz w:val="30"/>
          <w:szCs w:val="30"/>
        </w:rPr>
      </w:pPr>
    </w:p>
    <w:p w:rsidR="004D5EDD" w:rsidRPr="007C1A9D" w:rsidP="004D5EDD">
      <w:pPr>
        <w:spacing w:line="520" w:lineRule="exact"/>
        <w:ind w:left="-432" w:right="-346" w:leftChars="-135" w:rightChars="-108"/>
        <w:jc w:val="center"/>
        <w:rPr>
          <w:rFonts w:eastAsia="方正小标宋简体" w:hint="eastAsia"/>
          <w:bCs/>
          <w:color w:val="FF0000"/>
          <w:w w:val="80"/>
          <w:sz w:val="30"/>
          <w:szCs w:val="30"/>
        </w:rPr>
      </w:pPr>
    </w:p>
    <w:p w:rsidR="004D5EDD" w:rsidRPr="007C1A9D" w:rsidP="004D5EDD">
      <w:pPr>
        <w:spacing w:line="520" w:lineRule="exact"/>
        <w:ind w:left="-432" w:right="-346" w:leftChars="-135" w:rightChars="-108"/>
        <w:jc w:val="center"/>
        <w:rPr>
          <w:rFonts w:eastAsia="方正小标宋简体" w:hint="eastAsia"/>
          <w:bCs/>
          <w:color w:val="FF0000"/>
          <w:w w:val="80"/>
          <w:sz w:val="30"/>
          <w:szCs w:val="30"/>
        </w:rPr>
      </w:pPr>
    </w:p>
    <w:p w:rsidR="004D5EDD" w:rsidRPr="004D5EDD" w:rsidP="004D5EDD">
      <w:pPr>
        <w:ind w:left="-432" w:right="-346" w:leftChars="-135" w:rightChars="-108"/>
        <w:jc w:val="center"/>
        <w:rPr>
          <w:rFonts w:ascii="宋体" w:eastAsia="宋体" w:hAnsi="宋体" w:cs="Times New Roman"/>
          <w:b/>
          <w:bCs/>
          <w:color w:val="FB5447"/>
          <w:spacing w:val="-20"/>
          <w:w w:val="71"/>
          <w:sz w:val="122"/>
          <w:szCs w:val="122"/>
        </w:rPr>
      </w:pPr>
      <w:r w:rsidRPr="004D5EDD">
        <w:rPr>
          <w:rFonts w:ascii="宋体" w:eastAsia="宋体" w:hAnsi="宋体" w:cs="Times New Roman" w:hint="eastAsia"/>
          <w:b/>
          <w:bCs/>
          <w:color w:val="FB5447"/>
          <w:spacing w:val="-20"/>
          <w:w w:val="71"/>
          <w:sz w:val="122"/>
          <w:szCs w:val="122"/>
        </w:rPr>
        <w:t>中共</w:t>
      </w:r>
      <w:r w:rsidRPr="004D5EDD">
        <w:rPr>
          <w:rFonts w:ascii="宋体" w:eastAsia="宋体" w:hAnsi="宋体" w:cs="Times New Roman"/>
          <w:b/>
          <w:bCs/>
          <w:color w:val="FB5447"/>
          <w:spacing w:val="-20"/>
          <w:w w:val="71"/>
          <w:sz w:val="122"/>
          <w:szCs w:val="122"/>
        </w:rPr>
        <w:t>中山大学</w:t>
      </w:r>
      <w:r w:rsidRPr="004D5EDD">
        <w:rPr>
          <w:rFonts w:ascii="宋体" w:eastAsia="宋体" w:hAnsi="宋体" w:cs="Times New Roman" w:hint="eastAsia"/>
          <w:b/>
          <w:bCs/>
          <w:color w:val="FB5447"/>
          <w:spacing w:val="-20"/>
          <w:w w:val="71"/>
          <w:sz w:val="122"/>
          <w:szCs w:val="122"/>
        </w:rPr>
        <w:t>委员会</w:t>
      </w:r>
      <w:r w:rsidRPr="004D5EDD">
        <w:rPr>
          <w:rFonts w:ascii="宋体" w:eastAsia="宋体" w:hAnsi="宋体" w:cs="Times New Roman"/>
          <w:b/>
          <w:bCs/>
          <w:color w:val="FB5447"/>
          <w:spacing w:val="-20"/>
          <w:w w:val="71"/>
          <w:sz w:val="122"/>
          <w:szCs w:val="122"/>
        </w:rPr>
        <w:t>文件</w:t>
      </w:r>
    </w:p>
    <w:p w:rsidR="004D5EDD" w:rsidRPr="004B024B" w:rsidP="004D5EDD">
      <w:pPr>
        <w:snapToGrid w:val="0"/>
      </w:pPr>
    </w:p>
    <w:p w:rsidR="004D5EDD" w:rsidRPr="002D63BC" w:rsidP="004D5EDD">
      <w:pPr>
        <w:spacing w:line="800" w:lineRule="exact"/>
        <w:jc w:val="center"/>
      </w:pPr>
      <w:bookmarkStart w:id="0" w:name="_GoBack"/>
      <w:r w:rsidRPr="002D63BC">
        <w:rPr>
          <w:bCs/>
        </w:rPr>
        <w:t>中大党发</w:t>
      </w:r>
      <w:r w:rsidRPr="002D63BC">
        <w:t>〔</w:t>
      </w:r>
      <w:r>
        <w:t>202</w:t>
      </w:r>
      <w:r>
        <w:t>3</w:t>
      </w:r>
      <w:r w:rsidRPr="002D63BC">
        <w:t>〕</w:t>
      </w:r>
      <w:r>
        <w:t>17</w:t>
      </w:r>
      <w:r w:rsidRPr="002D63BC">
        <w:t>号</w:t>
      </w:r>
      <w:bookmarkEnd w:id="0"/>
    </w:p>
    <w:p w:rsidR="004D5EDD" w:rsidRPr="004B024B" w:rsidP="004D5EDD">
      <w:pPr>
        <w:spacing w:line="800" w:lineRule="exact"/>
        <w:jc w:val="center"/>
      </w:pPr>
      <w:r w:rsidRPr="002272FF">
        <w:rPr>
          <w:rFonts w:hint="eastAsia"/>
          <w:b/>
          <w:noProof/>
          <w:color w:val="FF6600"/>
        </w:rPr>
        <mc:AlternateContent>
          <mc:Choice Requires="wps">
            <w:drawing>
              <wp:anchor distT="0" distB="0" distL="114300" distR="114300" simplePos="0" relativeHeight="251660288" behindDoc="0" locked="0" layoutInCell="1" allowOverlap="1">
                <wp:simplePos x="0" y="0"/>
                <wp:positionH relativeFrom="column">
                  <wp:posOffset>-17780</wp:posOffset>
                </wp:positionH>
                <wp:positionV relativeFrom="paragraph">
                  <wp:posOffset>201930</wp:posOffset>
                </wp:positionV>
                <wp:extent cx="2555875" cy="14605"/>
                <wp:effectExtent l="10795" t="11430" r="14605" b="12065"/>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2555875" cy="14605"/>
                        </a:xfrm>
                        <a:prstGeom prst="rect">
                          <a:avLst/>
                        </a:prstGeom>
                        <a:solidFill>
                          <a:srgbClr val="FB5447"/>
                        </a:solidFill>
                        <a:ln w="15875">
                          <a:solidFill>
                            <a:srgbClr val="FB5447"/>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矩形 3" o:spid="_x0000_s1025" style="width:201.25pt;height:1.15pt;margin-top:15.9pt;margin-left:-1.4pt;mso-height-percent:0;mso-height-relative:page;mso-width-percent:0;mso-width-relative:page;mso-wrap-distance-bottom:0;mso-wrap-distance-left:9pt;mso-wrap-distance-right:9pt;mso-wrap-distance-top:0;mso-wrap-style:square;position:absolute;visibility:visible;v-text-anchor:top;z-index:251661312" fillcolor="#fb5447" strokecolor="#fb5447" strokeweight="1.25pt"/>
            </w:pict>
          </mc:Fallback>
        </mc:AlternateContent>
      </w:r>
      <w:r w:rsidRPr="002272FF">
        <w:rPr>
          <w:rFonts w:hint="eastAsia"/>
          <w:b/>
          <w:noProof/>
          <w:color w:val="FF6600"/>
        </w:rPr>
        <mc:AlternateContent>
          <mc:Choice Requires="wps">
            <w:drawing>
              <wp:anchor distT="0" distB="0" distL="114300" distR="114300" simplePos="0" relativeHeight="251658240" behindDoc="0" locked="0" layoutInCell="1" allowOverlap="1">
                <wp:simplePos x="0" y="0"/>
                <wp:positionH relativeFrom="column">
                  <wp:posOffset>2687320</wp:posOffset>
                </wp:positionH>
                <wp:positionV relativeFrom="paragraph">
                  <wp:posOffset>115570</wp:posOffset>
                </wp:positionV>
                <wp:extent cx="215900" cy="215900"/>
                <wp:effectExtent l="77470" t="86995" r="78105" b="78105"/>
                <wp:wrapNone/>
                <wp:docPr id="2" name="五角星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215900" cy="215900"/>
                        </a:xfrm>
                        <a:prstGeom prst="star5">
                          <a:avLst/>
                        </a:prstGeom>
                        <a:solidFill>
                          <a:srgbClr val="FB5447"/>
                        </a:solidFill>
                        <a:ln w="38100">
                          <a:solidFill>
                            <a:srgbClr val="FB5447"/>
                          </a:solidFill>
                          <a:miter lim="800000"/>
                          <a:headEnd/>
                          <a:tailEnd/>
                        </a:ln>
                        <a:effectLst/>
                        <a:extLst>
                          <a:ext xmlns:a="http://schemas.openxmlformats.org/drawingml/2006/main" uri="{AF507438-7753-43E0-B8FC-AC1667EBCBE1}">
                            <a14:hiddenEffects xmlns:a14="http://schemas.microsoft.com/office/drawing/2010/main">
                              <a:effectLst>
                                <a:outerShdw algn="ctr" dir="3806097" dist="28398" rotWithShape="0">
                                  <a:srgbClr val="974706">
                                    <a:alpha val="50000"/>
                                  </a:srgbClr>
                                </a:outerShdw>
                              </a:effectLst>
                            </a14:hiddenEffects>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 id="五角星 2" o:spid="_x0000_s1026" style="width:17pt;height:17pt;margin-top:9.1pt;margin-left:211.6pt;mso-height-percent:0;mso-height-relative:page;mso-width-percent:0;mso-width-relative:page;mso-wrap-distance-bottom:0;mso-wrap-distance-left:9pt;mso-wrap-distance-right:9pt;mso-wrap-distance-top:0;mso-wrap-style:square;position:absolute;visibility:visible;v-text-anchor:top;z-index:251659264" coordsize="215900,215900" path="m,82466l82467,82467l107950,l133433,82467l215900,82466l149182,133433l174667,215899,107950,164932,41233,215899,66718,133433,,82466xe" fillcolor="#fb5447" strokecolor="#fb5447" strokeweight="3pt">
                <v:stroke joinstyle="miter"/>
                <v:shadow color="#974706" opacity="0.5" offset="1pt"/>
                <v:path o:connecttype="custom" o:connectlocs="0,82466;82467,82467;107950,0;133433,82467;215900,82466;149182,133433;174667,215899;107950,164932;41233,215899;66718,133433;0,82466" o:connectangles="0,0,0,0,0,0,0,0,0,0,0"/>
              </v:shape>
            </w:pict>
          </mc:Fallback>
        </mc:AlternateContent>
      </w:r>
      <w:r w:rsidRPr="00F802F9">
        <w:rPr>
          <w:rFonts w:hint="eastAsia"/>
          <w:b/>
          <w:noProof/>
          <w:color w:val="FB5447"/>
        </w:rPr>
        <mc:AlternateContent>
          <mc:Choice Requires="wps">
            <w:drawing>
              <wp:anchor distT="0" distB="0" distL="114300" distR="114300" simplePos="0" relativeHeight="251662336" behindDoc="0" locked="0" layoutInCell="1" allowOverlap="1">
                <wp:simplePos x="0" y="0"/>
                <wp:positionH relativeFrom="column">
                  <wp:posOffset>3051175</wp:posOffset>
                </wp:positionH>
                <wp:positionV relativeFrom="paragraph">
                  <wp:posOffset>201930</wp:posOffset>
                </wp:positionV>
                <wp:extent cx="2555875" cy="14605"/>
                <wp:effectExtent l="12700" t="11430" r="12700" b="12065"/>
                <wp:wrapNone/>
                <wp:docPr id="1" name="矩形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2555875" cy="14605"/>
                        </a:xfrm>
                        <a:prstGeom prst="rect">
                          <a:avLst/>
                        </a:prstGeom>
                        <a:solidFill>
                          <a:srgbClr val="FB5447"/>
                        </a:solidFill>
                        <a:ln w="15875">
                          <a:solidFill>
                            <a:srgbClr val="FB5447"/>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矩形 1" o:spid="_x0000_s1027" style="width:201.25pt;height:1.15pt;margin-top:15.9pt;margin-left:240.25pt;mso-height-percent:0;mso-height-relative:page;mso-width-percent:0;mso-width-relative:page;mso-wrap-distance-bottom:0;mso-wrap-distance-left:9pt;mso-wrap-distance-right:9pt;mso-wrap-distance-top:0;mso-wrap-style:square;position:absolute;visibility:visible;v-text-anchor:top;z-index:251663360" fillcolor="#fb5447" strokecolor="#fb5447" strokeweight="1.25pt"/>
            </w:pict>
          </mc:Fallback>
        </mc:AlternateContent>
      </w:r>
    </w:p>
    <w:p w:rsidR="004F357A" w:rsidRPr="00677D67" w:rsidP="004F357A">
      <w:pPr>
        <w:spacing w:line="520" w:lineRule="exact"/>
        <w:jc w:val="center"/>
        <w:rPr>
          <w:b/>
        </w:rPr>
      </w:pPr>
    </w:p>
    <w:p w:rsidR="004F357A" w:rsidRPr="00020BA5" w:rsidP="004F357A">
      <w:pPr>
        <w:spacing w:line="540" w:lineRule="exact"/>
        <w:jc w:val="center"/>
        <w:rPr>
          <w:rFonts w:eastAsia="方正小标宋简体"/>
          <w:sz w:val="44"/>
          <w:szCs w:val="44"/>
        </w:rPr>
      </w:pPr>
      <w:r w:rsidRPr="00020BA5">
        <w:rPr>
          <w:rFonts w:eastAsia="方正小标宋简体"/>
          <w:sz w:val="44"/>
          <w:szCs w:val="44"/>
        </w:rPr>
        <w:t>中共中山大学委员会关于印发《中山大学</w:t>
      </w:r>
      <w:r w:rsidRPr="00020BA5">
        <w:rPr>
          <w:rFonts w:eastAsia="方正小标宋简体"/>
          <w:sz w:val="44"/>
          <w:szCs w:val="44"/>
        </w:rPr>
        <w:t>20</w:t>
      </w:r>
      <w:r>
        <w:rPr>
          <w:rFonts w:eastAsia="方正小标宋简体"/>
          <w:sz w:val="44"/>
          <w:szCs w:val="44"/>
        </w:rPr>
        <w:t>2</w:t>
      </w:r>
      <w:r w:rsidR="00DF2180">
        <w:rPr>
          <w:rFonts w:eastAsia="方正小标宋简体"/>
          <w:sz w:val="44"/>
          <w:szCs w:val="44"/>
        </w:rPr>
        <w:t>3</w:t>
      </w:r>
      <w:r w:rsidRPr="00020BA5">
        <w:rPr>
          <w:rFonts w:eastAsia="方正小标宋简体"/>
          <w:sz w:val="44"/>
          <w:szCs w:val="44"/>
        </w:rPr>
        <w:t>年</w:t>
      </w:r>
      <w:r>
        <w:rPr>
          <w:rFonts w:eastAsia="方正小标宋简体" w:hint="eastAsia"/>
          <w:sz w:val="44"/>
          <w:szCs w:val="44"/>
        </w:rPr>
        <w:t>党的建设和全面从严治党</w:t>
      </w:r>
      <w:r w:rsidRPr="00020BA5">
        <w:rPr>
          <w:rFonts w:eastAsia="方正小标宋简体"/>
          <w:sz w:val="44"/>
          <w:szCs w:val="44"/>
        </w:rPr>
        <w:t>工作要点》的通知</w:t>
      </w:r>
    </w:p>
    <w:p w:rsidR="004F357A" w:rsidRPr="00DF2180" w:rsidP="004F357A">
      <w:pPr>
        <w:spacing w:line="540" w:lineRule="exact"/>
      </w:pPr>
    </w:p>
    <w:p w:rsidR="004F357A" w:rsidRPr="00020BA5" w:rsidP="004F357A">
      <w:pPr>
        <w:spacing w:line="560" w:lineRule="exact"/>
      </w:pPr>
      <w:r w:rsidRPr="006B5520">
        <w:rPr>
          <w:rFonts w:hint="eastAsia"/>
        </w:rPr>
        <w:t>各二级党委（党总支）、直属党支部、党工委，校机关各部、处、室，各学院、直属系，各直属单位，各附属医院（单位），产业集</w:t>
      </w:r>
      <w:r w:rsidRPr="0090052D">
        <w:rPr>
          <w:rFonts w:hint="eastAsia"/>
        </w:rPr>
        <w:t>团</w:t>
      </w:r>
      <w:r w:rsidRPr="0090052D">
        <w:t>：</w:t>
      </w:r>
    </w:p>
    <w:p w:rsidR="004F357A" w:rsidP="004F357A">
      <w:pPr>
        <w:spacing w:line="560" w:lineRule="exact"/>
        <w:ind w:firstLine="640"/>
      </w:pPr>
      <w:r w:rsidRPr="00020BA5">
        <w:t>《中山大学</w:t>
      </w:r>
      <w:r>
        <w:t>202</w:t>
      </w:r>
      <w:r w:rsidR="00DF2180">
        <w:t>3</w:t>
      </w:r>
      <w:r w:rsidRPr="00020BA5">
        <w:t>年</w:t>
      </w:r>
      <w:r>
        <w:rPr>
          <w:rFonts w:hint="eastAsia"/>
        </w:rPr>
        <w:t>党的建设和全面从严治党</w:t>
      </w:r>
      <w:r w:rsidRPr="00020BA5">
        <w:t>工作要点》已经</w:t>
      </w:r>
      <w:r w:rsidRPr="0054451D">
        <w:t>20</w:t>
      </w:r>
      <w:r>
        <w:t>2</w:t>
      </w:r>
      <w:r w:rsidR="00DF2180">
        <w:t>3</w:t>
      </w:r>
      <w:r w:rsidRPr="00020BA5">
        <w:rPr>
          <w:rFonts w:hint="eastAsia"/>
        </w:rPr>
        <w:t>年</w:t>
      </w:r>
      <w:r w:rsidRPr="00020BA5">
        <w:t>第</w:t>
      </w:r>
      <w:r w:rsidR="00DF2180">
        <w:rPr>
          <w:color w:val="000000"/>
        </w:rPr>
        <w:t>10</w:t>
      </w:r>
      <w:r w:rsidRPr="00020BA5">
        <w:t>次校党委常委会（扩大）会议审议通过，现予以印发，请认真贯彻落实。</w:t>
      </w:r>
    </w:p>
    <w:p w:rsidR="004F357A" w:rsidP="004F357A">
      <w:pPr>
        <w:spacing w:line="560" w:lineRule="exact"/>
        <w:ind w:firstLine="640"/>
      </w:pPr>
    </w:p>
    <w:p w:rsidR="004F357A" w:rsidRPr="00020BA5" w:rsidP="004F357A">
      <w:pPr>
        <w:spacing w:line="560" w:lineRule="exact"/>
        <w:ind w:right="960"/>
        <w:jc w:val="right"/>
      </w:pPr>
      <w:r w:rsidRPr="00020BA5">
        <w:t>中共中山大学委员会</w:t>
      </w:r>
    </w:p>
    <w:p w:rsidR="00CD194F" w:rsidRPr="004D5EDD" w:rsidP="004D5EDD">
      <w:pPr>
        <w:spacing w:line="560" w:lineRule="exact"/>
        <w:ind w:firstLine="5440" w:firstLineChars="1700"/>
        <w:rPr>
          <w:rFonts w:hint="eastAsia"/>
        </w:rPr>
      </w:pPr>
      <w:r w:rsidRPr="0054451D">
        <w:t>20</w:t>
      </w:r>
      <w:r>
        <w:t>2</w:t>
      </w:r>
      <w:r w:rsidR="00DF2180">
        <w:t>3</w:t>
      </w:r>
      <w:r w:rsidRPr="00020BA5">
        <w:t>年</w:t>
      </w:r>
      <w:r>
        <w:t>3</w:t>
      </w:r>
      <w:r w:rsidRPr="00020BA5">
        <w:t>月</w:t>
      </w:r>
      <w:r w:rsidR="00DF2180">
        <w:rPr>
          <w:color w:val="000000"/>
        </w:rPr>
        <w:t>29</w:t>
      </w:r>
      <w:r w:rsidRPr="00020BA5">
        <w:t>日</w:t>
      </w:r>
    </w:p>
    <w:p w:rsidR="00A769C9" w:rsidP="00A769C9">
      <w:pPr>
        <w:spacing w:line="560" w:lineRule="exact"/>
        <w:jc w:val="center"/>
        <w:rPr>
          <w:rFonts w:eastAsia="方正小标宋简体"/>
          <w:sz w:val="44"/>
          <w:szCs w:val="44"/>
        </w:rPr>
      </w:pPr>
    </w:p>
    <w:p w:rsidR="00A769C9" w:rsidP="00A769C9">
      <w:pPr>
        <w:spacing w:line="560" w:lineRule="exact"/>
        <w:jc w:val="center"/>
        <w:rPr>
          <w:rFonts w:eastAsia="方正小标宋简体"/>
          <w:sz w:val="44"/>
          <w:szCs w:val="44"/>
        </w:rPr>
      </w:pPr>
      <w:r>
        <w:rPr>
          <w:rFonts w:eastAsia="方正小标宋简体" w:hint="eastAsia"/>
          <w:sz w:val="44"/>
          <w:szCs w:val="44"/>
        </w:rPr>
        <w:t>中山大学</w:t>
      </w:r>
      <w:r>
        <w:rPr>
          <w:rFonts w:eastAsia="方正小标宋简体" w:hint="eastAsia"/>
          <w:sz w:val="44"/>
          <w:szCs w:val="44"/>
        </w:rPr>
        <w:t>202</w:t>
      </w:r>
      <w:r>
        <w:rPr>
          <w:rFonts w:eastAsia="方正小标宋简体"/>
          <w:sz w:val="44"/>
          <w:szCs w:val="44"/>
        </w:rPr>
        <w:t>3</w:t>
      </w:r>
      <w:r>
        <w:rPr>
          <w:rFonts w:eastAsia="方正小标宋简体" w:hint="eastAsia"/>
          <w:sz w:val="44"/>
          <w:szCs w:val="44"/>
        </w:rPr>
        <w:t>年党的建设和全面从严治党</w:t>
      </w:r>
    </w:p>
    <w:p w:rsidR="00A769C9" w:rsidP="00A769C9">
      <w:pPr>
        <w:spacing w:line="560" w:lineRule="exact"/>
        <w:jc w:val="center"/>
        <w:rPr>
          <w:rFonts w:eastAsia="方正小标宋简体"/>
          <w:sz w:val="44"/>
          <w:szCs w:val="44"/>
        </w:rPr>
      </w:pPr>
      <w:r>
        <w:rPr>
          <w:rFonts w:eastAsia="方正小标宋简体" w:hint="eastAsia"/>
          <w:sz w:val="44"/>
          <w:szCs w:val="44"/>
        </w:rPr>
        <w:t>工作要点</w:t>
      </w:r>
    </w:p>
    <w:p w:rsidR="00A769C9" w:rsidP="00A769C9">
      <w:pPr>
        <w:spacing w:line="560" w:lineRule="exact"/>
        <w:jc w:val="center"/>
      </w:pPr>
    </w:p>
    <w:p w:rsidR="00A769C9" w:rsidP="00C71ED9">
      <w:pPr>
        <w:spacing w:line="560" w:lineRule="exact"/>
        <w:ind w:firstLine="640" w:firstLineChars="200"/>
        <w:jc w:val="both"/>
        <w:rPr>
          <w:bCs/>
        </w:rPr>
      </w:pPr>
      <w:r>
        <w:rPr>
          <w:rFonts w:hint="eastAsia"/>
        </w:rPr>
        <w:t>2</w:t>
      </w:r>
      <w:r>
        <w:t>023</w:t>
      </w:r>
      <w:r>
        <w:rPr>
          <w:rFonts w:hint="eastAsia"/>
        </w:rPr>
        <w:t>年是全面贯彻落实党的二十大精神的开局之年。学校党的建设和全面从严治党工作的总体要求是：坚持以习近平新时代中国特色社会主义思想为指导，全面贯彻落实党的二十大精神，贯彻落实二十届中央纪</w:t>
      </w:r>
      <w:r w:rsidR="0015343C">
        <w:rPr>
          <w:rFonts w:hint="eastAsia"/>
        </w:rPr>
        <w:t xml:space="preserve"> </w:t>
      </w:r>
      <w:r>
        <w:rPr>
          <w:rFonts w:hint="eastAsia"/>
        </w:rPr>
        <w:t>委二次全会精神，深刻领悟“两个确立”的决定性意义，增强“四个意识”，坚定“四个自信”，做到“两个维护”，认真落实健全全面从严治党体系任务要求。坚持和加强党对学校的全面领导，全面贯彻党的教育方针，落实立德树人根本任务，贯彻</w:t>
      </w:r>
      <w:r>
        <w:rPr>
          <w:rFonts w:hint="eastAsia"/>
          <w:bCs/>
        </w:rPr>
        <w:t>落实学校第十四次党代会提出的目标任务，</w:t>
      </w:r>
      <w:r>
        <w:rPr>
          <w:rFonts w:hint="eastAsia"/>
          <w:color w:val="000000"/>
        </w:rPr>
        <w:t>推进学校事业高质量内涵式发展</w:t>
      </w:r>
      <w:r>
        <w:rPr>
          <w:rFonts w:hint="eastAsia"/>
          <w:bCs/>
        </w:rPr>
        <w:t>。</w:t>
      </w:r>
    </w:p>
    <w:p w:rsidR="00A769C9" w:rsidP="00C71ED9">
      <w:pPr>
        <w:spacing w:line="560" w:lineRule="exact"/>
        <w:ind w:firstLine="640" w:firstLineChars="200"/>
        <w:rPr>
          <w:rFonts w:eastAsia="黑体"/>
        </w:rPr>
      </w:pPr>
      <w:r>
        <w:rPr>
          <w:rFonts w:ascii="黑体" w:eastAsia="黑体" w:hAnsi="黑体" w:hint="eastAsia"/>
          <w:bCs/>
          <w:color w:val="000000"/>
        </w:rPr>
        <w:t>一、坚持把学习宣传贯彻党的二十大精神作为首要政治任务和全部工作的重心</w:t>
      </w:r>
    </w:p>
    <w:p w:rsidR="00A769C9" w:rsidP="00C71ED9">
      <w:pPr>
        <w:spacing w:line="560" w:lineRule="exact"/>
        <w:ind w:firstLine="640" w:firstLineChars="200"/>
        <w:jc w:val="both"/>
        <w:rPr>
          <w:b/>
          <w:color w:val="000000"/>
        </w:rPr>
      </w:pPr>
      <w:r>
        <w:rPr>
          <w:b/>
          <w:color w:val="000000"/>
        </w:rPr>
        <w:t>1.</w:t>
      </w:r>
      <w:r>
        <w:rPr>
          <w:rFonts w:hint="eastAsia"/>
          <w:b/>
          <w:color w:val="000000"/>
        </w:rPr>
        <w:t>持续深入学习宣传贯彻党的二十大精神。</w:t>
      </w:r>
      <w:r>
        <w:rPr>
          <w:rFonts w:hint="eastAsia"/>
          <w:color w:val="000000"/>
        </w:rPr>
        <w:t>贯彻落实习近平总书记关于“五个牢牢把握”的重要指示精神，在全面学习全面把握全面落实上下功夫，落实《中山大学关于学习宣传贯彻党的二十大精神的工作方案》。系统推进学习培训，广泛开展宣传宣讲，分层分类做好教育引导，深化理论研究阐释。</w:t>
      </w:r>
      <w:r>
        <w:rPr>
          <w:rFonts w:hint="eastAsia"/>
        </w:rPr>
        <w:t>深刻领悟教育、科技、人才在现代化建设中的基础性、战略性支撑作用，</w:t>
      </w:r>
      <w:r>
        <w:rPr>
          <w:rFonts w:ascii="仿宋_GB2312" w:hAnsi="仿宋" w:hint="eastAsia"/>
        </w:rPr>
        <w:t>把党中央提出的战略部署转化为学校工作的具体措施，深入实施学校</w:t>
      </w:r>
      <w:r>
        <w:rPr>
          <w:rFonts w:ascii="仿宋_GB2312" w:hAnsi="仿宋" w:hint="eastAsia"/>
        </w:rPr>
        <w:t>“十四五”规划，制定《中山大学</w:t>
      </w:r>
      <w:r>
        <w:t>2023</w:t>
      </w:r>
      <w:r>
        <w:rPr>
          <w:rFonts w:ascii="仿宋_GB2312" w:hAnsi="仿宋" w:hint="eastAsia"/>
        </w:rPr>
        <w:t>年工作要点》，</w:t>
      </w:r>
      <w:r>
        <w:rPr>
          <w:rFonts w:ascii="仿宋_GB2312" w:hAnsi="仿宋" w:hint="eastAsia"/>
        </w:rPr>
        <w:t>切实</w:t>
      </w:r>
      <w:r>
        <w:rPr>
          <w:rFonts w:hint="eastAsia"/>
          <w:bCs/>
        </w:rPr>
        <w:t>将</w:t>
      </w:r>
      <w:r>
        <w:rPr>
          <w:rFonts w:hint="eastAsia"/>
        </w:rPr>
        <w:t>党的二十大精神落实到办学治校各环节</w:t>
      </w:r>
      <w:r>
        <w:rPr>
          <w:rFonts w:hint="eastAsia"/>
          <w:color w:val="000000"/>
        </w:rPr>
        <w:t>。</w:t>
      </w:r>
    </w:p>
    <w:p w:rsidR="00A769C9" w:rsidP="00C71ED9">
      <w:pPr>
        <w:spacing w:line="560" w:lineRule="exact"/>
        <w:ind w:firstLine="640" w:firstLineChars="200"/>
        <w:jc w:val="both"/>
        <w:rPr>
          <w:spacing w:val="-2"/>
        </w:rPr>
      </w:pPr>
      <w:r>
        <w:rPr>
          <w:b/>
          <w:color w:val="000000"/>
        </w:rPr>
        <w:t>2.</w:t>
      </w:r>
      <w:r>
        <w:rPr>
          <w:rFonts w:hint="eastAsia"/>
          <w:b/>
          <w:color w:val="000000"/>
        </w:rPr>
        <w:t>坚持不懈用习近平新时代中国特色社会主义思想凝心铸魂。</w:t>
      </w:r>
      <w:r>
        <w:rPr>
          <w:rFonts w:hint="eastAsia"/>
        </w:rPr>
        <w:t>深刻领会习近平新时代中国特色社会主义思想的核心要义、精神实质、丰富内涵和实践要求，牢牢把握习近平新时代中国特色社会主义思想的世界观和方法论，坚持好、运用好贯穿其中的立场观点方法，用党的创新理论武装头脑、指导实践、推动工作。</w:t>
      </w:r>
      <w:r>
        <w:rPr>
          <w:rFonts w:ascii="仿宋_GB2312" w:hAnsi="仿宋_GB2312" w:cs="仿宋_GB2312" w:hint="eastAsia"/>
          <w:color w:val="000000"/>
        </w:rPr>
        <w:t>按照党中央统一部署，扎实开展习近平新时代中国特色社会主义思想主题教育。深入推进习近平新时代中国特色社会主义思想和党的二十大精神进教材进课堂进头脑。发挥学校人才优势、学科优势、平台优势，</w:t>
      </w:r>
      <w:r>
        <w:rPr>
          <w:rFonts w:hint="eastAsia"/>
          <w:color w:val="000000"/>
        </w:rPr>
        <w:t>深入推</w:t>
      </w:r>
      <w:r>
        <w:rPr>
          <w:rFonts w:hint="eastAsia"/>
          <w:color w:val="000000"/>
        </w:rPr>
        <w:t>动习近平新时代中国特色社会主义思想的研究阐释工作。</w:t>
      </w:r>
      <w:r>
        <w:rPr>
          <w:bCs/>
        </w:rPr>
        <w:t>完善理论学习制度机制</w:t>
      </w:r>
      <w:r>
        <w:rPr>
          <w:rFonts w:hint="eastAsia"/>
          <w:bCs/>
        </w:rPr>
        <w:t>，制定</w:t>
      </w:r>
      <w:r>
        <w:rPr>
          <w:rFonts w:hint="eastAsia"/>
          <w:bCs/>
        </w:rPr>
        <w:t>2</w:t>
      </w:r>
      <w:r>
        <w:rPr>
          <w:bCs/>
        </w:rPr>
        <w:t>023</w:t>
      </w:r>
      <w:r>
        <w:rPr>
          <w:rFonts w:hint="eastAsia"/>
          <w:bCs/>
        </w:rPr>
        <w:t>年校党委理论学习中心组学习重点内容，高质量组织校院两级党委理论学习中心组集中学习。</w:t>
      </w:r>
      <w:r>
        <w:rPr>
          <w:rFonts w:ascii="仿宋_GB2312" w:hint="eastAsia"/>
          <w:color w:val="000000"/>
        </w:rPr>
        <w:t>研究制定学校各级党组织大兴调查研究的工作方案，抓好“大学习、深调研、真落实”</w:t>
      </w:r>
      <w:r>
        <w:rPr>
          <w:rFonts w:hint="eastAsia"/>
          <w:bCs/>
        </w:rPr>
        <w:t>。</w:t>
      </w:r>
    </w:p>
    <w:p w:rsidR="00A769C9" w:rsidP="00C71ED9">
      <w:pPr>
        <w:spacing w:line="560" w:lineRule="exact"/>
        <w:ind w:firstLine="640" w:firstLineChars="200"/>
        <w:rPr>
          <w:rFonts w:eastAsia="黑体"/>
        </w:rPr>
      </w:pPr>
      <w:r>
        <w:rPr>
          <w:rFonts w:eastAsia="黑体" w:hint="eastAsia"/>
        </w:rPr>
        <w:t>二、以政治建设为统领加强党对学校工作的全面领导，</w:t>
      </w:r>
      <w:r w:rsidRPr="00262349">
        <w:rPr>
          <w:rFonts w:eastAsia="黑体" w:hint="eastAsia"/>
        </w:rPr>
        <w:t>坚决拥护“两个确立”始终做到“两个维护”</w:t>
      </w:r>
      <w:r>
        <w:rPr>
          <w:rFonts w:eastAsia="黑体" w:hint="eastAsia"/>
        </w:rPr>
        <w:t xml:space="preserve"> </w:t>
      </w:r>
    </w:p>
    <w:p w:rsidR="00A769C9" w:rsidP="00C71ED9">
      <w:pPr>
        <w:spacing w:line="560" w:lineRule="exact"/>
        <w:ind w:firstLine="640" w:firstLineChars="200"/>
        <w:jc w:val="both"/>
        <w:rPr>
          <w:rFonts w:ascii="仿宋_GB2312" w:hAnsi="仿宋_GB2312" w:cs="宋体"/>
        </w:rPr>
      </w:pPr>
      <w:r>
        <w:rPr>
          <w:b/>
        </w:rPr>
        <w:t>3</w:t>
      </w:r>
      <w:r>
        <w:rPr>
          <w:rFonts w:ascii="仿宋_GB2312" w:hAnsi="仿宋"/>
          <w:b/>
        </w:rPr>
        <w:t>.</w:t>
      </w:r>
      <w:r>
        <w:rPr>
          <w:rFonts w:ascii="仿宋_GB2312" w:hAnsi="仿宋" w:hint="eastAsia"/>
          <w:b/>
        </w:rPr>
        <w:t>坚定不移践行“两个维护”。</w:t>
      </w:r>
      <w:r>
        <w:rPr>
          <w:rFonts w:ascii="仿宋_GB2312" w:hAnsi="仿宋" w:hint="eastAsia"/>
        </w:rPr>
        <w:t>全面、系统、整体落实党对学校工作的领导，</w:t>
      </w:r>
      <w:r w:rsidRPr="00784680">
        <w:rPr>
          <w:rFonts w:ascii="仿宋_GB2312" w:hAnsi="仿宋" w:hint="eastAsia"/>
        </w:rPr>
        <w:t>压实主体责任，发挥好</w:t>
      </w:r>
      <w:r>
        <w:rPr>
          <w:rFonts w:ascii="仿宋_GB2312" w:hAnsi="仿宋" w:hint="eastAsia"/>
        </w:rPr>
        <w:t>党委</w:t>
      </w:r>
      <w:r w:rsidRPr="00784680">
        <w:rPr>
          <w:rFonts w:ascii="仿宋_GB2312" w:hAnsi="仿宋" w:hint="eastAsia"/>
        </w:rPr>
        <w:t>“把方向、管大局、作决策、保落实”作用</w:t>
      </w:r>
      <w:r>
        <w:rPr>
          <w:rFonts w:ascii="仿宋_GB2312" w:hAnsi="仿宋" w:hint="eastAsia"/>
        </w:rPr>
        <w:t>，坚定拥护“两个确立”，坚决做到“两个维护</w:t>
      </w:r>
      <w:r>
        <w:rPr>
          <w:rFonts w:ascii="仿宋_GB2312" w:hAnsi="仿宋" w:hint="eastAsia"/>
        </w:rPr>
        <w:t>”。</w:t>
      </w:r>
      <w:r>
        <w:rPr>
          <w:rFonts w:ascii="仿宋_GB2312" w:hAnsi="仿宋_GB2312" w:cs="宋体" w:hint="eastAsia"/>
        </w:rPr>
        <w:t>完善落实“两个维护”工作机制，执行好“第一议题”制度，</w:t>
      </w:r>
      <w:r>
        <w:rPr>
          <w:rFonts w:ascii="仿宋_GB2312" w:hAnsi="仿宋" w:hint="eastAsia"/>
        </w:rPr>
        <w:t>健全政治要件的全流程管理和有效执行机制</w:t>
      </w:r>
      <w:r>
        <w:rPr>
          <w:rFonts w:ascii="仿宋_GB2312" w:hAnsi="仿宋_GB2312" w:cs="宋体" w:hint="eastAsia"/>
        </w:rPr>
        <w:t>。严格执行《关</w:t>
      </w:r>
      <w:r>
        <w:rPr>
          <w:rFonts w:ascii="仿宋_GB2312" w:hAnsi="仿宋_GB2312" w:cs="宋体" w:hint="eastAsia"/>
        </w:rPr>
        <w:t>于新形势下党内政治生活的若干准则》，深入贯彻落实《关于加强高校党的政治建设的若干措施》，坚定不移在思想上政治上行动上同以习近平同志为核心的党中央保持高度一致。持续推动党的督促检查工作质量提升，完善校领导重要履职任务清单、全面从严治党主体责任清单和二级党组织书记履职月报清单，进一步规范督促检查制度机制，创新方式方法，强化结果运用。坚持党委领导下的校长负责制，贯彻落实民主集中制，</w:t>
      </w:r>
      <w:r>
        <w:rPr>
          <w:rFonts w:ascii="仿宋_GB2312" w:hAnsi="仿宋" w:hint="eastAsia"/>
        </w:rPr>
        <w:t>落实“三重一大”决策制度，保障议事决策规范科学有序。</w:t>
      </w:r>
      <w:r>
        <w:rPr>
          <w:rFonts w:ascii="仿宋_GB2312" w:hAnsi="仿宋_GB2312" w:cs="宋体" w:hint="eastAsia"/>
        </w:rPr>
        <w:t>严格执行重大事项请示报告制度。落实各级党组织专题研究制度机制。完善学校管党治党、办学治校制度体系，统筹做好制度“废改立”，</w:t>
      </w:r>
      <w:r>
        <w:rPr>
          <w:rFonts w:hint="eastAsia"/>
          <w:szCs w:val="21"/>
        </w:rPr>
        <w:t>做好新修订学校章程的贯彻执行。</w:t>
      </w:r>
    </w:p>
    <w:p w:rsidR="00A769C9" w:rsidP="00C71ED9">
      <w:pPr>
        <w:spacing w:line="560" w:lineRule="exact"/>
        <w:ind w:firstLine="640" w:firstLineChars="200"/>
        <w:jc w:val="both"/>
        <w:rPr>
          <w:rFonts w:ascii="仿宋_GB2312" w:hAnsi="仿宋_GB2312" w:cs="宋体"/>
          <w:b/>
        </w:rPr>
      </w:pPr>
      <w:r>
        <w:rPr>
          <w:b/>
        </w:rPr>
        <w:t>4.</w:t>
      </w:r>
      <w:r>
        <w:rPr>
          <w:rFonts w:hint="eastAsia"/>
          <w:b/>
        </w:rPr>
        <w:t xml:space="preserve"> </w:t>
      </w:r>
      <w:r>
        <w:rPr>
          <w:rFonts w:hint="eastAsia"/>
          <w:b/>
        </w:rPr>
        <w:t>持续深化中央巡视整改任务要求。</w:t>
      </w:r>
      <w:r>
        <w:rPr>
          <w:rFonts w:hint="eastAsia"/>
        </w:rPr>
        <w:t>以钉钉子的精神和啃“硬骨头”的勇气，持续不断抓好中央巡视反馈的问题整改。</w:t>
      </w:r>
      <w:r>
        <w:rPr>
          <w:rFonts w:ascii="仿宋_GB2312" w:hAnsi="仿宋_GB2312" w:cs="宋体" w:hint="eastAsia"/>
        </w:rPr>
        <w:t>紧盯</w:t>
      </w:r>
      <w:r>
        <w:rPr>
          <w:rFonts w:hint="eastAsia"/>
        </w:rPr>
        <w:t>深化中央巡视整改</w:t>
      </w:r>
      <w:r>
        <w:rPr>
          <w:rFonts w:ascii="仿宋_GB2312" w:hAnsi="仿宋_GB2312" w:cs="宋体" w:hint="eastAsia"/>
        </w:rPr>
        <w:t>重点领域重点问题</w:t>
      </w:r>
      <w:r>
        <w:t>和深入整治形式主义、官僚主义等难点</w:t>
      </w:r>
      <w:r>
        <w:rPr>
          <w:rFonts w:hint="eastAsia"/>
        </w:rPr>
        <w:t>任务</w:t>
      </w:r>
      <w:r>
        <w:rPr>
          <w:rFonts w:ascii="仿宋_GB2312" w:hAnsi="仿宋_GB2312" w:cs="宋体" w:hint="eastAsia"/>
        </w:rPr>
        <w:t>，完善深化整改工作机制</w:t>
      </w:r>
      <w:r>
        <w:rPr>
          <w:rFonts w:hint="eastAsia"/>
        </w:rPr>
        <w:t>。</w:t>
      </w:r>
      <w:r>
        <w:rPr>
          <w:rFonts w:ascii="仿宋_GB2312" w:hAnsi="仿宋_GB2312" w:cs="宋体" w:hint="eastAsia"/>
        </w:rPr>
        <w:t>压实整改责任，落实整改督办监督，做好重点任务每月一督、整改进展半年一报、整改成效半年一评、整改工作档</w:t>
      </w:r>
      <w:r>
        <w:rPr>
          <w:rFonts w:ascii="仿宋_GB2312" w:hAnsi="仿宋_GB2312" w:cs="宋体" w:hint="eastAsia"/>
        </w:rPr>
        <w:t>案“一事一档”。主动对标党的二十大作出的新部署新要求，确保各项深化整改任务取得新成效。持续加强对职能部门、二级党组织、领导干部履行巡视整改政治责任的监督检查，将整改落实情况纳入领导班子考核和干部考核评价，不断巩固深化中央巡视整改成果。</w:t>
      </w:r>
    </w:p>
    <w:p w:rsidR="00A769C9" w:rsidP="00C71ED9">
      <w:pPr>
        <w:widowControl w:val="0"/>
        <w:spacing w:line="560" w:lineRule="exact"/>
        <w:ind w:firstLine="640" w:firstLineChars="200"/>
        <w:jc w:val="both"/>
        <w:rPr>
          <w:b/>
        </w:rPr>
      </w:pPr>
      <w:r>
        <w:rPr>
          <w:b/>
        </w:rPr>
        <w:t>5.</w:t>
      </w:r>
      <w:r>
        <w:rPr>
          <w:rFonts w:hint="eastAsia"/>
          <w:b/>
        </w:rPr>
        <w:t>提升</w:t>
      </w:r>
      <w:r>
        <w:rPr>
          <w:b/>
        </w:rPr>
        <w:t>校内巡视工作质量</w:t>
      </w:r>
      <w:r>
        <w:rPr>
          <w:rFonts w:hint="eastAsia"/>
          <w:b/>
        </w:rPr>
        <w:t>。</w:t>
      </w:r>
      <w:r>
        <w:rPr>
          <w:rFonts w:hint="eastAsia"/>
        </w:rPr>
        <w:t>准确把握党中央新部署新要求，</w:t>
      </w:r>
      <w:r>
        <w:rPr>
          <w:rFonts w:cs="宋体" w:hint="eastAsia"/>
          <w:bCs/>
          <w:kern w:val="0"/>
        </w:rPr>
        <w:t>制定学校党委</w:t>
      </w:r>
      <w:r>
        <w:rPr>
          <w:rFonts w:cs="宋体" w:hint="eastAsia"/>
          <w:bCs/>
          <w:kern w:val="0"/>
        </w:rPr>
        <w:t>2</w:t>
      </w:r>
      <w:r>
        <w:rPr>
          <w:rFonts w:cs="宋体"/>
          <w:bCs/>
          <w:kern w:val="0"/>
        </w:rPr>
        <w:t>023</w:t>
      </w:r>
      <w:r>
        <w:rPr>
          <w:rFonts w:cs="宋体" w:hint="eastAsia"/>
          <w:bCs/>
          <w:kern w:val="0"/>
        </w:rPr>
        <w:t>—</w:t>
      </w:r>
      <w:r>
        <w:rPr>
          <w:rFonts w:cs="宋体" w:hint="eastAsia"/>
          <w:bCs/>
          <w:kern w:val="0"/>
        </w:rPr>
        <w:t>2</w:t>
      </w:r>
      <w:r>
        <w:rPr>
          <w:rFonts w:cs="宋体"/>
          <w:bCs/>
          <w:kern w:val="0"/>
        </w:rPr>
        <w:t>027</w:t>
      </w:r>
      <w:r>
        <w:rPr>
          <w:rFonts w:cs="宋体" w:hint="eastAsia"/>
          <w:bCs/>
          <w:kern w:val="0"/>
        </w:rPr>
        <w:t>年巡视工作规划，推动校内巡视工作向深拓展、向专发力。紧盯权力和责任，紧盯“一把手”和领导班子，紧盯师生员工反映强烈的问题，紧盯巡视整改和成果运用，启动新轮次的校内巡视工作。进一步提高校内巡视工</w:t>
      </w:r>
      <w:r>
        <w:rPr>
          <w:rFonts w:cs="宋体" w:hint="eastAsia"/>
          <w:bCs/>
          <w:kern w:val="0"/>
        </w:rPr>
        <w:t>作质量，</w:t>
      </w:r>
      <w:r>
        <w:rPr>
          <w:rFonts w:hint="eastAsia"/>
        </w:rPr>
        <w:t>压实</w:t>
      </w:r>
      <w:r>
        <w:t>各级党组织落实巡视整改主体责任</w:t>
      </w:r>
      <w:r>
        <w:rPr>
          <w:rFonts w:cs="宋体" w:hint="eastAsia"/>
          <w:bCs/>
          <w:kern w:val="0"/>
        </w:rPr>
        <w:t>，</w:t>
      </w:r>
      <w:r>
        <w:t>做实纪检监察机构、组织部门日常监督</w:t>
      </w:r>
      <w:r>
        <w:rPr>
          <w:rFonts w:hint="eastAsia"/>
        </w:rPr>
        <w:t>，深化以巡促改、以巡促建、以巡促治</w:t>
      </w:r>
      <w:r>
        <w:t>。</w:t>
      </w:r>
    </w:p>
    <w:p w:rsidR="00A769C9" w:rsidP="00C71ED9">
      <w:pPr>
        <w:widowControl w:val="0"/>
        <w:spacing w:line="560" w:lineRule="exact"/>
        <w:ind w:firstLine="640" w:firstLineChars="200"/>
        <w:rPr>
          <w:rFonts w:eastAsia="黑体"/>
        </w:rPr>
      </w:pPr>
      <w:r>
        <w:rPr>
          <w:rFonts w:eastAsia="黑体" w:hint="eastAsia"/>
        </w:rPr>
        <w:t>三、推动立德树人根本任务走深走实，全面推进思想政治工作守正创新</w:t>
      </w:r>
    </w:p>
    <w:p w:rsidR="00A769C9" w:rsidP="00C71ED9">
      <w:pPr>
        <w:spacing w:line="560" w:lineRule="exact"/>
        <w:ind w:firstLine="640" w:firstLineChars="200"/>
        <w:jc w:val="both"/>
        <w:rPr>
          <w:b/>
        </w:rPr>
      </w:pPr>
      <w:r>
        <w:rPr>
          <w:b/>
        </w:rPr>
        <w:t>6.</w:t>
      </w:r>
      <w:r>
        <w:rPr>
          <w:b/>
        </w:rPr>
        <w:t>充分发挥思政课铸魂育人主渠道作用。</w:t>
      </w:r>
      <w:r w:rsidRPr="006A1D17">
        <w:rPr>
          <w:rFonts w:ascii="仿宋_GB2312" w:hint="eastAsia"/>
        </w:rPr>
        <w:t>全面推动党的二十大精神有机融入学校教育教学</w:t>
      </w:r>
      <w:r>
        <w:rPr>
          <w:rFonts w:ascii="仿宋_GB2312" w:hint="eastAsia"/>
        </w:rPr>
        <w:t>，落实“时代新人铸魂工程”，</w:t>
      </w:r>
      <w:r w:rsidRPr="005D6109">
        <w:rPr>
          <w:rFonts w:ascii="仿宋_GB2312" w:hint="eastAsia"/>
        </w:rPr>
        <w:t>全面推进“大思政课”建设</w:t>
      </w:r>
      <w:r>
        <w:rPr>
          <w:rFonts w:ascii="仿宋_GB2312" w:hint="eastAsia"/>
        </w:rPr>
        <w:t>。</w:t>
      </w:r>
      <w:r w:rsidRPr="005D6109">
        <w:rPr>
          <w:rFonts w:ascii="仿宋_GB2312" w:hint="eastAsia"/>
        </w:rPr>
        <w:t>统筹推进本硕博思政课一体化建设，</w:t>
      </w:r>
      <w:r>
        <w:rPr>
          <w:rFonts w:ascii="仿宋_GB2312" w:hint="eastAsia"/>
        </w:rPr>
        <w:t>讲好</w:t>
      </w:r>
      <w:r w:rsidRPr="005D6109">
        <w:rPr>
          <w:rFonts w:ascii="仿宋_GB2312" w:hint="eastAsia"/>
        </w:rPr>
        <w:t>“习近平新时代中国特色社会主义思想概论”课，全面加强以习近平新时代中国特色社会主义思想为核心内容的课程群建设，深化思政课教学改革</w:t>
      </w:r>
      <w:r w:rsidRPr="00A40822">
        <w:rPr>
          <w:rFonts w:ascii="仿宋_GB2312" w:hint="eastAsia"/>
        </w:rPr>
        <w:t>，打造思政课一流课</w:t>
      </w:r>
      <w:r>
        <w:rPr>
          <w:rFonts w:ascii="仿宋_GB2312" w:hint="eastAsia"/>
        </w:rPr>
        <w:t>程建设体系。</w:t>
      </w:r>
      <w:r w:rsidRPr="00671146">
        <w:rPr>
          <w:rFonts w:ascii="仿宋_GB2312" w:hint="eastAsia"/>
          <w:bCs/>
        </w:rPr>
        <w:t>配齐</w:t>
      </w:r>
      <w:r w:rsidRPr="00671146">
        <w:rPr>
          <w:rFonts w:ascii="仿宋_GB2312" w:hint="eastAsia"/>
          <w:bCs/>
        </w:rPr>
        <w:t>建强思政课教师队伍，落实思政课教师能力提升攻坚行动的举措，深化教师岗前培训、集体备课、实践研修、名师培育等工作。</w:t>
      </w:r>
      <w:r w:rsidRPr="00A40822">
        <w:rPr>
          <w:rFonts w:ascii="仿宋_GB2312" w:hint="eastAsia"/>
          <w:bCs/>
        </w:rPr>
        <w:t>探索推进大中小学思政课一体化建设</w:t>
      </w:r>
      <w:r>
        <w:rPr>
          <w:rFonts w:ascii="仿宋_GB2312" w:hint="eastAsia"/>
          <w:bCs/>
        </w:rPr>
        <w:t>。</w:t>
      </w:r>
    </w:p>
    <w:p w:rsidR="00A769C9" w:rsidP="00C71ED9">
      <w:pPr>
        <w:spacing w:line="560" w:lineRule="exact"/>
        <w:ind w:firstLine="640" w:firstLineChars="200"/>
        <w:jc w:val="both"/>
        <w:rPr>
          <w:b/>
        </w:rPr>
      </w:pPr>
      <w:r>
        <w:rPr>
          <w:b/>
        </w:rPr>
        <w:t>7.</w:t>
      </w:r>
      <w:r>
        <w:rPr>
          <w:rFonts w:hint="eastAsia"/>
          <w:b/>
        </w:rPr>
        <w:t>完善思想政治工作体系。</w:t>
      </w:r>
      <w:r>
        <w:rPr>
          <w:rFonts w:ascii="仿宋_GB2312" w:hint="eastAsia"/>
          <w:color w:val="000000"/>
        </w:rPr>
        <w:t>进一步完善德智体美劳全面培养的教育体系，</w:t>
      </w:r>
      <w:bookmarkStart w:id="1" w:name="_Hlk130475074"/>
      <w:r>
        <w:rPr>
          <w:rFonts w:ascii="仿宋_GB2312" w:hint="eastAsia"/>
          <w:color w:val="000000"/>
        </w:rPr>
        <w:t>深化“三全育人”综合改革，</w:t>
      </w:r>
      <w:r>
        <w:rPr>
          <w:rFonts w:ascii="仿宋_GB2312" w:hint="eastAsia"/>
          <w:bCs/>
          <w:color w:val="000000"/>
        </w:rPr>
        <w:t>推进</w:t>
      </w:r>
      <w:r>
        <w:rPr>
          <w:rFonts w:ascii="仿宋_GB2312" w:hint="eastAsia"/>
          <w:color w:val="000000"/>
        </w:rPr>
        <w:t>三校区五校园“一站式”学生社区综合治理创新建设</w:t>
      </w:r>
      <w:r>
        <w:rPr>
          <w:rFonts w:hint="eastAsia"/>
          <w:bCs/>
          <w:color w:val="000000"/>
        </w:rPr>
        <w:t>。</w:t>
      </w:r>
      <w:r>
        <w:rPr>
          <w:color w:val="000000"/>
        </w:rPr>
        <w:t>优化学校第二课堂工作方案</w:t>
      </w:r>
      <w:r>
        <w:rPr>
          <w:rFonts w:hint="eastAsia"/>
          <w:color w:val="000000"/>
        </w:rPr>
        <w:t>，</w:t>
      </w:r>
      <w:r>
        <w:rPr>
          <w:rFonts w:ascii="仿宋_GB2312"/>
          <w:color w:val="000000"/>
        </w:rPr>
        <w:t>开发第二课堂管理系统、建设学生社团管理系统、升级心理测评系统</w:t>
      </w:r>
      <w:r>
        <w:rPr>
          <w:rFonts w:ascii="仿宋_GB2312" w:hint="eastAsia"/>
          <w:color w:val="000000"/>
        </w:rPr>
        <w:t>，</w:t>
      </w:r>
      <w:r>
        <w:rPr>
          <w:color w:val="000000"/>
        </w:rPr>
        <w:t>建立健全第二课堂质量评估体系。</w:t>
      </w:r>
      <w:r>
        <w:rPr>
          <w:rFonts w:hint="eastAsia"/>
          <w:bCs/>
          <w:color w:val="000000"/>
        </w:rPr>
        <w:t>发挥“两个典礼”育人</w:t>
      </w:r>
      <w:r>
        <w:rPr>
          <w:rFonts w:hint="eastAsia"/>
          <w:bCs/>
          <w:color w:val="000000"/>
        </w:rPr>
        <w:t>功能，为学生上好“开学第一课”、“毕业最后一课”。</w:t>
      </w:r>
      <w:r>
        <w:rPr>
          <w:rFonts w:ascii="仿宋_GB2312" w:hint="eastAsia"/>
          <w:color w:val="000000"/>
        </w:rPr>
        <w:t>深化铸牢中华民族共同体意识教育。</w:t>
      </w:r>
      <w:r>
        <w:rPr>
          <w:rFonts w:hint="eastAsia"/>
          <w:bCs/>
          <w:color w:val="000000"/>
        </w:rPr>
        <w:t>推进</w:t>
      </w:r>
      <w:r>
        <w:rPr>
          <w:rFonts w:ascii="仿宋_GB2312" w:hint="eastAsia"/>
          <w:color w:val="000000"/>
        </w:rPr>
        <w:t>美育与德育融合，组织开展高雅艺术进校园、音乐公开课、校园歌手大赛、草地音乐会等文化艺术实践活动。</w:t>
      </w:r>
      <w:r>
        <w:rPr>
          <w:rFonts w:hAnsi="等线" w:hint="eastAsia"/>
        </w:rPr>
        <w:t>强化学生安全教育管理，</w:t>
      </w:r>
      <w:r>
        <w:rPr>
          <w:rFonts w:hint="eastAsia"/>
          <w:bCs/>
          <w:color w:val="000000"/>
        </w:rPr>
        <w:t>加强学生心理健康教育，</w:t>
      </w:r>
      <w:r>
        <w:rPr>
          <w:rFonts w:hAnsi="等线"/>
        </w:rPr>
        <w:t>做好</w:t>
      </w:r>
      <w:r>
        <w:rPr>
          <w:rFonts w:hAnsi="等线" w:hint="eastAsia"/>
        </w:rPr>
        <w:t>学生</w:t>
      </w:r>
      <w:r>
        <w:rPr>
          <w:rFonts w:hAnsi="等线"/>
        </w:rPr>
        <w:t>关心关爱、困难帮扶和隐患化解工作。</w:t>
      </w:r>
      <w:r>
        <w:rPr>
          <w:rFonts w:hint="eastAsia"/>
          <w:bCs/>
        </w:rPr>
        <w:t>做好</w:t>
      </w:r>
      <w:r>
        <w:rPr>
          <w:rFonts w:hint="eastAsia"/>
        </w:rPr>
        <w:t>稳就业保就业，多措并举推进</w:t>
      </w:r>
      <w:r>
        <w:rPr>
          <w:rFonts w:hAnsi="等线" w:hint="eastAsia"/>
        </w:rPr>
        <w:t>毕业生</w:t>
      </w:r>
      <w:r>
        <w:rPr>
          <w:rFonts w:hint="eastAsia"/>
        </w:rPr>
        <w:t>高质量</w:t>
      </w:r>
      <w:r>
        <w:rPr>
          <w:rFonts w:hAnsi="等线" w:hint="eastAsia"/>
        </w:rPr>
        <w:t>就业，</w:t>
      </w:r>
      <w:r>
        <w:rPr>
          <w:rFonts w:hint="eastAsia"/>
        </w:rPr>
        <w:t>积极引导学生到国家重点行业和关键领域就业。加强国防教育，深入推进大学生征兵工作。</w:t>
      </w:r>
      <w:r>
        <w:rPr>
          <w:rFonts w:ascii="仿宋_GB2312" w:hint="eastAsia"/>
          <w:bCs/>
          <w:color w:val="000000"/>
        </w:rPr>
        <w:t>加强辅导员队伍建设，选拔马克思主义学院教师担任本科一年级学生辅导员。</w:t>
      </w:r>
      <w:bookmarkEnd w:id="1"/>
      <w:r>
        <w:rPr>
          <w:rFonts w:hint="eastAsia"/>
        </w:rPr>
        <w:t>推进学校关工委建设，进一步发挥“五老”对青年师生的关怀和指导作用。</w:t>
      </w:r>
    </w:p>
    <w:p w:rsidR="00A769C9" w:rsidP="00C71ED9">
      <w:pPr>
        <w:spacing w:line="560" w:lineRule="exact"/>
        <w:ind w:firstLine="640" w:firstLineChars="200"/>
        <w:jc w:val="both"/>
        <w:rPr>
          <w:rFonts w:ascii="仿宋_GB2312" w:hAnsi="仿宋_GB2312" w:cs="宋体"/>
          <w:b/>
        </w:rPr>
      </w:pPr>
      <w:r>
        <w:rPr>
          <w:rFonts w:hint="eastAsia"/>
          <w:b/>
        </w:rPr>
        <w:t>8</w:t>
      </w:r>
      <w:r>
        <w:rPr>
          <w:b/>
        </w:rPr>
        <w:t>.</w:t>
      </w:r>
      <w:r>
        <w:rPr>
          <w:rFonts w:hint="eastAsia"/>
          <w:b/>
        </w:rPr>
        <w:t>推动大学文化建设提能增效。</w:t>
      </w:r>
      <w:r>
        <w:rPr>
          <w:rFonts w:ascii="仿宋_GB2312" w:cs="宋体" w:hint="eastAsia"/>
        </w:rPr>
        <w:t>发挥以文化人以文育人功能，把握重</w:t>
      </w:r>
      <w:r>
        <w:rPr>
          <w:rFonts w:ascii="仿宋_GB2312" w:cs="宋体" w:hint="eastAsia"/>
        </w:rPr>
        <w:t>要节点、重要仪式、重大活动，推进理想信念教育常态化制度化，</w:t>
      </w:r>
      <w:r>
        <w:rPr>
          <w:rFonts w:ascii="仿宋_GB2312" w:hint="eastAsia"/>
        </w:rPr>
        <w:t>深入开展社会主义核心价值观宣传教育</w:t>
      </w:r>
      <w:r w:rsidR="00DB6467">
        <w:rPr>
          <w:rFonts w:ascii="仿宋_GB2312" w:hint="eastAsia"/>
        </w:rPr>
        <w:t>，</w:t>
      </w:r>
      <w:r>
        <w:rPr>
          <w:rFonts w:ascii="仿宋_GB2312" w:hint="eastAsia"/>
        </w:rPr>
        <w:t>深化爱国主义、集体主义、社会主义教育，加强习近平法治思想学习宣传和社会主义法治教育，扎实开展科学家精神教育</w:t>
      </w:r>
      <w:r>
        <w:rPr>
          <w:rFonts w:ascii="仿宋_GB2312" w:cs="宋体" w:hint="eastAsia"/>
        </w:rPr>
        <w:t>。</w:t>
      </w:r>
      <w:r>
        <w:rPr>
          <w:rFonts w:ascii="仿宋_GB2312" w:cs="宋体"/>
        </w:rPr>
        <w:t>完善校院两级大学文化建设体制机制</w:t>
      </w:r>
      <w:r>
        <w:rPr>
          <w:rFonts w:ascii="仿宋_GB2312" w:cs="宋体" w:hint="eastAsia"/>
        </w:rPr>
        <w:t>，</w:t>
      </w:r>
      <w:r>
        <w:rPr>
          <w:rFonts w:ascii="仿宋_GB2312" w:cs="宋体"/>
        </w:rPr>
        <w:t>充分激发</w:t>
      </w:r>
      <w:r>
        <w:rPr>
          <w:rFonts w:ascii="仿宋_GB2312" w:cs="宋体" w:hint="eastAsia"/>
        </w:rPr>
        <w:t>校园</w:t>
      </w:r>
      <w:r>
        <w:rPr>
          <w:rFonts w:ascii="仿宋_GB2312" w:cs="宋体"/>
        </w:rPr>
        <w:t>文化建设活力</w:t>
      </w:r>
      <w:r>
        <w:rPr>
          <w:rFonts w:ascii="仿宋_GB2312" w:cs="宋体" w:hint="eastAsia"/>
        </w:rPr>
        <w:t>。培育校园文化活动品牌项目，推出校园文化精品力作，培育浓厚学术文化氛围。</w:t>
      </w:r>
      <w:r>
        <w:rPr>
          <w:rFonts w:ascii="仿宋_GB2312" w:cs="宋体"/>
        </w:rPr>
        <w:t>开展</w:t>
      </w:r>
      <w:r>
        <w:rPr>
          <w:rFonts w:ascii="仿宋_GB2312" w:cs="宋体" w:hint="eastAsia"/>
        </w:rPr>
        <w:t>百年校史研究、孙中山纪念馆复展、校史及院史文献档案资源整理研究、文创产品设计等</w:t>
      </w:r>
      <w:r>
        <w:rPr>
          <w:rFonts w:ascii="仿宋_GB2312" w:cs="宋体"/>
        </w:rPr>
        <w:t>主题文化活动</w:t>
      </w:r>
      <w:r>
        <w:rPr>
          <w:rFonts w:ascii="仿宋_GB2312" w:cs="宋体" w:hint="eastAsia"/>
        </w:rPr>
        <w:t>。加强学校统一标识系统建设，</w:t>
      </w:r>
      <w:r>
        <w:rPr>
          <w:rFonts w:ascii="仿宋_GB2312" w:cs="宋体"/>
        </w:rPr>
        <w:t>加强校园形象建设与宣传</w:t>
      </w:r>
      <w:r>
        <w:rPr>
          <w:rFonts w:ascii="仿宋_GB2312" w:cs="宋体" w:hint="eastAsia"/>
        </w:rPr>
        <w:t>。</w:t>
      </w:r>
    </w:p>
    <w:p w:rsidR="00A769C9" w:rsidP="00C71ED9">
      <w:pPr>
        <w:spacing w:line="560" w:lineRule="exact"/>
        <w:ind w:firstLine="641"/>
        <w:jc w:val="both"/>
      </w:pPr>
      <w:r>
        <w:rPr>
          <w:rFonts w:hint="eastAsia"/>
          <w:b/>
        </w:rPr>
        <w:t>9</w:t>
      </w:r>
      <w:r>
        <w:rPr>
          <w:b/>
        </w:rPr>
        <w:t>.</w:t>
      </w:r>
      <w:r>
        <w:rPr>
          <w:rFonts w:hint="eastAsia"/>
          <w:b/>
        </w:rPr>
        <w:t>加强教师思想政治和师德师风建设。</w:t>
      </w:r>
      <w:r>
        <w:rPr>
          <w:rFonts w:ascii="仿宋_GB2312" w:hint="eastAsia"/>
          <w:color w:val="000000"/>
        </w:rPr>
        <w:t>贯彻落实党的二十大关于“加强师德师风建设，培养高素质教师队伍，弘扬尊师重教</w:t>
      </w:r>
      <w:r>
        <w:rPr>
          <w:rFonts w:ascii="仿宋_GB2312" w:hint="eastAsia"/>
          <w:color w:val="000000"/>
        </w:rPr>
        <w:t>社会风尚”的要求，进一步完善体制机制，加大师德师风宣传教育力度，推动教师师德师风建设高质量发展。召开</w:t>
      </w:r>
      <w:r w:rsidRPr="002A2BBD">
        <w:rPr>
          <w:rFonts w:ascii="仿宋_GB2312" w:hint="eastAsia"/>
          <w:color w:val="000000"/>
        </w:rPr>
        <w:t>党委</w:t>
      </w:r>
      <w:r w:rsidRPr="002A2BBD" w:rsidR="002A2BBD">
        <w:rPr>
          <w:rFonts w:ascii="仿宋_GB2312" w:hint="eastAsia"/>
          <w:color w:val="000000"/>
        </w:rPr>
        <w:t>教师工作委员会全体会议</w:t>
      </w:r>
      <w:r>
        <w:rPr>
          <w:rFonts w:ascii="仿宋_GB2312" w:hint="eastAsia"/>
          <w:color w:val="000000"/>
        </w:rPr>
        <w:t>，加强教师工作研判部署和统筹协调</w:t>
      </w:r>
      <w:r>
        <w:rPr>
          <w:rFonts w:ascii="仿宋_GB2312" w:hAnsi="宋体" w:cs="宋体" w:hint="eastAsia"/>
          <w:color w:val="000000"/>
          <w:lang w:bidi="ar"/>
        </w:rPr>
        <w:t>。</w:t>
      </w:r>
      <w:r>
        <w:rPr>
          <w:rFonts w:ascii="仿宋_GB2312" w:hAnsi="宋体" w:cs="宋体" w:hint="eastAsia"/>
          <w:bCs/>
          <w:color w:val="000000"/>
          <w:lang w:bidi="ar"/>
        </w:rPr>
        <w:t>完善</w:t>
      </w:r>
      <w:r>
        <w:rPr>
          <w:rFonts w:ascii="仿宋_GB2312" w:hAnsi="宋体" w:cs="宋体" w:hint="eastAsia"/>
          <w:color w:val="000000"/>
          <w:lang w:bidi="ar"/>
        </w:rPr>
        <w:t>“早预防、早发现、早干预、早处置”</w:t>
      </w:r>
      <w:r>
        <w:rPr>
          <w:rFonts w:ascii="仿宋_GB2312" w:hAnsi="宋体" w:cs="宋体" w:hint="eastAsia"/>
          <w:bCs/>
          <w:color w:val="000000"/>
          <w:lang w:bidi="ar"/>
        </w:rPr>
        <w:t>工作机制，</w:t>
      </w:r>
      <w:r>
        <w:rPr>
          <w:rFonts w:ascii="仿宋_GB2312" w:hAnsi="宋体" w:cs="宋体" w:hint="eastAsia"/>
          <w:color w:val="000000"/>
          <w:lang w:bidi="ar"/>
        </w:rPr>
        <w:t>常态化开展师德警示教育，持续完善警示教育材料。</w:t>
      </w:r>
      <w:r>
        <w:rPr>
          <w:rFonts w:ascii="仿宋_GB2312" w:hint="eastAsia"/>
          <w:bCs/>
          <w:color w:val="000000"/>
        </w:rPr>
        <w:t>紧抓二级单位责任，落实</w:t>
      </w:r>
      <w:r>
        <w:rPr>
          <w:rFonts w:hint="eastAsia"/>
          <w:bCs/>
          <w:color w:val="000000"/>
        </w:rPr>
        <w:t>《中山大学关于完善教师思想政治和师德师风建设体制机制的工作方案》。</w:t>
      </w:r>
      <w:r>
        <w:rPr>
          <w:rFonts w:ascii="仿宋_GB2312" w:hAnsi="宋体" w:cs="宋体" w:hint="eastAsia"/>
          <w:color w:val="000000"/>
          <w:lang w:bidi="ar"/>
        </w:rPr>
        <w:t>压实二级单位审核把关责任，抓实教师团队、党支部前置审核把关。</w:t>
      </w:r>
      <w:r>
        <w:rPr>
          <w:rFonts w:ascii="仿宋_GB2312" w:hAnsi="宋体" w:cs="宋体" w:hint="eastAsia"/>
          <w:bCs/>
          <w:color w:val="000000"/>
          <w:lang w:bidi="ar"/>
        </w:rPr>
        <w:t>完善师德违规行为查处工作机制，</w:t>
      </w:r>
      <w:r>
        <w:rPr>
          <w:rFonts w:ascii="仿宋_GB2312" w:hAnsi="宋体" w:cs="宋体" w:hint="eastAsia"/>
          <w:color w:val="000000"/>
          <w:lang w:bidi="ar"/>
        </w:rPr>
        <w:t>严格落实教育部、省教育厅新出台的师德失范行为查处工作指南，修订《中山大学教师师德失范行为处理办法（试行）》</w:t>
      </w:r>
      <w:r>
        <w:rPr>
          <w:rFonts w:hint="eastAsia"/>
          <w:bCs/>
          <w:color w:val="000000"/>
        </w:rPr>
        <w:t>，</w:t>
      </w:r>
      <w:r>
        <w:rPr>
          <w:rFonts w:ascii="仿宋_GB2312" w:hAnsi="宋体" w:cs="宋体" w:hint="eastAsia"/>
          <w:color w:val="000000"/>
          <w:lang w:bidi="ar"/>
        </w:rPr>
        <w:t>依纪依规及时查处师德失范行为。</w:t>
      </w:r>
      <w:r>
        <w:rPr>
          <w:rFonts w:ascii="仿宋_GB2312" w:hAnsi="宋体" w:cs="宋体" w:hint="eastAsia"/>
          <w:bCs/>
          <w:color w:val="000000"/>
          <w:lang w:bidi="ar"/>
        </w:rPr>
        <w:t>发挥先进典型示范引领作用，</w:t>
      </w:r>
      <w:r>
        <w:rPr>
          <w:rFonts w:ascii="仿宋_GB2312" w:hAnsi="宋体" w:cs="宋体" w:hint="eastAsia"/>
          <w:color w:val="000000"/>
          <w:lang w:bidi="ar"/>
        </w:rPr>
        <w:t>在教师节集中表彰一批教育教学先进个人和集体。完成编制《中山大学教师手册》并适时更新。</w:t>
      </w:r>
    </w:p>
    <w:p w:rsidR="00A769C9" w:rsidP="00C71ED9">
      <w:pPr>
        <w:spacing w:line="560" w:lineRule="exact"/>
        <w:ind w:firstLine="640" w:firstLineChars="200"/>
        <w:rPr>
          <w:rFonts w:eastAsia="黑体"/>
        </w:rPr>
      </w:pPr>
      <w:r>
        <w:rPr>
          <w:rFonts w:eastAsia="黑体" w:hint="eastAsia"/>
        </w:rPr>
        <w:t>四、贯彻落实新时代党的组织路线，为学校事业发展提供坚强组织保障和干部人才支撑</w:t>
      </w:r>
    </w:p>
    <w:p w:rsidR="00A769C9" w:rsidP="00C71ED9">
      <w:pPr>
        <w:adjustRightInd w:val="0"/>
        <w:snapToGrid w:val="0"/>
        <w:spacing w:line="560" w:lineRule="exact"/>
        <w:ind w:firstLine="640" w:firstLineChars="200"/>
        <w:jc w:val="both"/>
        <w:rPr>
          <w:b/>
        </w:rPr>
      </w:pPr>
      <w:r>
        <w:rPr>
          <w:b/>
        </w:rPr>
        <w:t>1</w:t>
      </w:r>
      <w:r>
        <w:rPr>
          <w:rFonts w:hint="eastAsia"/>
          <w:b/>
        </w:rPr>
        <w:t>0</w:t>
      </w:r>
      <w:r>
        <w:rPr>
          <w:b/>
        </w:rPr>
        <w:t xml:space="preserve">. </w:t>
      </w:r>
      <w:r>
        <w:rPr>
          <w:b/>
        </w:rPr>
        <w:t>着力</w:t>
      </w:r>
      <w:r>
        <w:rPr>
          <w:rFonts w:hint="eastAsia"/>
          <w:b/>
        </w:rPr>
        <w:t>加强基层党组织政治功能和组织功能。</w:t>
      </w:r>
      <w:r w:rsidRPr="001D3FC8">
        <w:rPr>
          <w:rFonts w:hint="eastAsia"/>
        </w:rPr>
        <w:t>全面</w:t>
      </w:r>
      <w:r>
        <w:t>落实《中国共产党普通高等学校基层组织工作条例》，健全学校党的组织体系、制度体系</w:t>
      </w:r>
      <w:r>
        <w:rPr>
          <w:rFonts w:hint="eastAsia"/>
        </w:rPr>
        <w:t>、党建工作责任体系</w:t>
      </w:r>
      <w:r>
        <w:t>和工作机</w:t>
      </w:r>
      <w:r>
        <w:t>制</w:t>
      </w:r>
      <w:r>
        <w:rPr>
          <w:rFonts w:hint="eastAsia"/>
        </w:rPr>
        <w:t>，推动党建工作质量整体提升</w:t>
      </w:r>
      <w:r>
        <w:t>。科学、有效地设置各级党组织，健全各级党组织委员会</w:t>
      </w:r>
      <w:r>
        <w:rPr>
          <w:rFonts w:hint="eastAsia"/>
        </w:rPr>
        <w:t>，进一步健全二级党组织会议、党政联席会议、党支部书记工作例会等制度。</w:t>
      </w:r>
      <w:r>
        <w:t>坚持大抓基层的工作导向，完善师生党支部建设标准，不断提高党支部建设标准化规范化水平。坚持政</w:t>
      </w:r>
      <w:r>
        <w:t>治标准，提高发展党员质量，</w:t>
      </w:r>
      <w:r>
        <w:rPr>
          <w:rFonts w:ascii="仿宋_GB2312" w:hAnsi="楷体" w:cs="楷体" w:hint="eastAsia"/>
          <w:bCs/>
        </w:rPr>
        <w:t>严把发展党员入口关，推进党员发展与学生思政、共青团工作深度结合，确保学生入党积极分子和发展对象质量。加强对人才队伍的政治引领和政治吸纳。严格党员党籍管理和组织关系管理。</w:t>
      </w:r>
      <w:r>
        <w:t>持续加强党建品牌化建设，开展</w:t>
      </w:r>
      <w:r>
        <w:t>“</w:t>
      </w:r>
      <w:r>
        <w:t>党建工作坊</w:t>
      </w:r>
      <w:r>
        <w:t>”</w:t>
      </w:r>
      <w:r>
        <w:t>，刊发《党建工作通讯》，组织</w:t>
      </w:r>
      <w:r>
        <w:t>“</w:t>
      </w:r>
      <w:r>
        <w:t>最佳党日活</w:t>
      </w:r>
      <w:r>
        <w:t>动</w:t>
      </w:r>
      <w:r>
        <w:t>”</w:t>
      </w:r>
      <w:r>
        <w:t>评选、微党课评选和展播、党建课题研究等。</w:t>
      </w:r>
      <w:r>
        <w:rPr>
          <w:rFonts w:hint="eastAsia"/>
        </w:rPr>
        <w:t>落实基层党建三年行动计划，推进高校党建与事业发展“一融双高”，</w:t>
      </w:r>
      <w:r>
        <w:t>深入推进新时代高校党建示范创建和质量创优工作。开好学校第十四次党代会，按照学校第十四次党代会擘画的蓝图，以高质量党建引领学校高质量发展。</w:t>
      </w:r>
      <w:r w:rsidRPr="00341970">
        <w:rPr>
          <w:rFonts w:hint="eastAsia"/>
        </w:rPr>
        <w:t>全面提升机关党建质量，坚持以党风带动机关作风，持续开展、抓实做细机关作风建设月、机关讲堂、读书分享会等工作。</w:t>
      </w:r>
      <w:r>
        <w:rPr>
          <w:rFonts w:ascii="仿宋_GB2312" w:hint="eastAsia"/>
        </w:rPr>
        <w:t>贯彻落实《关于加强新时代离退休干部党的建设工作的意见》，</w:t>
      </w:r>
      <w:r w:rsidRPr="00112F5C">
        <w:rPr>
          <w:rFonts w:ascii="仿宋_GB2312" w:hint="eastAsia"/>
        </w:rPr>
        <w:t>完善离退休工作校院两级管理服务机制，强化对离退休教职工管理服务的宏观指导和统筹协调。</w:t>
      </w:r>
    </w:p>
    <w:p w:rsidR="00A769C9" w:rsidP="00C71ED9">
      <w:pPr>
        <w:adjustRightInd w:val="0"/>
        <w:snapToGrid w:val="0"/>
        <w:spacing w:line="560" w:lineRule="exact"/>
        <w:ind w:firstLine="640" w:firstLineChars="200"/>
        <w:jc w:val="both"/>
        <w:rPr>
          <w:b/>
        </w:rPr>
      </w:pPr>
      <w:r>
        <w:rPr>
          <w:b/>
        </w:rPr>
        <w:t>1</w:t>
      </w:r>
      <w:r>
        <w:rPr>
          <w:rFonts w:hint="eastAsia"/>
          <w:b/>
        </w:rPr>
        <w:t>1</w:t>
      </w:r>
      <w:r>
        <w:rPr>
          <w:b/>
        </w:rPr>
        <w:t>.</w:t>
      </w:r>
      <w:r>
        <w:rPr>
          <w:b/>
        </w:rPr>
        <w:t>持续推进高素质</w:t>
      </w:r>
      <w:r>
        <w:rPr>
          <w:rFonts w:hint="eastAsia"/>
          <w:b/>
        </w:rPr>
        <w:t>专业化</w:t>
      </w:r>
      <w:r>
        <w:rPr>
          <w:b/>
        </w:rPr>
        <w:t>干部队伍建设</w:t>
      </w:r>
      <w:r>
        <w:rPr>
          <w:rFonts w:hint="eastAsia"/>
          <w:b/>
        </w:rPr>
        <w:t>。</w:t>
      </w:r>
      <w:r>
        <w:rPr>
          <w:rFonts w:ascii="仿宋_GB2312" w:hAnsi="楷体" w:cs="楷体" w:hint="eastAsia"/>
          <w:bCs/>
        </w:rPr>
        <w:t>坚持党管干部原则，坚持新时代好干部标准，树立选人用人正确导向，统筹推进干部</w:t>
      </w:r>
      <w:r>
        <w:t>“</w:t>
      </w:r>
      <w:r>
        <w:t>选育管用</w:t>
      </w:r>
      <w:r>
        <w:t>”</w:t>
      </w:r>
      <w:r>
        <w:t>，通过实践锻炼、专业训练，加强干部斗争精神和斗争本领养成，建设一支政治过硬、适应新时代要求、忠诚干净担当的干部队伍。加强系统谋划，优化运行机制</w:t>
      </w:r>
      <w:r>
        <w:rPr>
          <w:rFonts w:hint="eastAsia"/>
        </w:rPr>
        <w:t>，适时</w:t>
      </w:r>
      <w:r>
        <w:t>启动</w:t>
      </w:r>
      <w:r>
        <w:rPr>
          <w:rFonts w:hint="eastAsia"/>
        </w:rPr>
        <w:t>二级单位</w:t>
      </w:r>
      <w:r>
        <w:t>党政领导班子换届工作</w:t>
      </w:r>
      <w:r>
        <w:rPr>
          <w:rFonts w:hint="eastAsia"/>
        </w:rPr>
        <w:t>，</w:t>
      </w:r>
      <w:r>
        <w:t>推进党政换届工作协同进行</w:t>
      </w:r>
      <w:r>
        <w:rPr>
          <w:rFonts w:hint="eastAsia"/>
        </w:rPr>
        <w:t>。</w:t>
      </w:r>
      <w:r>
        <w:t>选优配强二级单位党政领导班子</w:t>
      </w:r>
      <w:r>
        <w:rPr>
          <w:rFonts w:hint="eastAsia"/>
        </w:rPr>
        <w:t>、专职组织员和党支部书记队伍。加大对年轻干部的锻炼成长和培养选拔力度，</w:t>
      </w:r>
      <w:r>
        <w:t>编制优秀年轻干部</w:t>
      </w:r>
      <w:r>
        <w:t>队伍建设规划，落实优秀年轻干部培养工作实施方案，建立起系统的优秀年轻干部培养机制，做好干部储备。</w:t>
      </w:r>
    </w:p>
    <w:p w:rsidR="00A769C9" w:rsidP="00C71ED9">
      <w:pPr>
        <w:adjustRightInd w:val="0"/>
        <w:snapToGrid w:val="0"/>
        <w:spacing w:line="560" w:lineRule="exact"/>
        <w:ind w:firstLine="640" w:firstLineChars="200"/>
        <w:jc w:val="both"/>
      </w:pPr>
      <w:r>
        <w:rPr>
          <w:b/>
        </w:rPr>
        <w:t>1</w:t>
      </w:r>
      <w:r>
        <w:rPr>
          <w:rFonts w:hint="eastAsia"/>
          <w:b/>
        </w:rPr>
        <w:t>2</w:t>
      </w:r>
      <w:r>
        <w:rPr>
          <w:b/>
        </w:rPr>
        <w:t>.</w:t>
      </w:r>
      <w:r>
        <w:rPr>
          <w:rFonts w:hint="eastAsia"/>
          <w:b/>
        </w:rPr>
        <w:t>建设高素质教师人才队伍。</w:t>
      </w:r>
      <w:r w:rsidRPr="00D44941">
        <w:rPr>
          <w:rFonts w:hint="eastAsia"/>
        </w:rPr>
        <w:t>坚持</w:t>
      </w:r>
      <w:r>
        <w:rPr>
          <w:rFonts w:hint="eastAsia"/>
        </w:rPr>
        <w:t>党对人才工作的全面领导，按</w:t>
      </w:r>
      <w:r w:rsidRPr="00D44941">
        <w:rPr>
          <w:rFonts w:hint="eastAsia"/>
        </w:rPr>
        <w:t>“适度规模、优化结构、注重质量、追求卓越”的基本原则，引育并举，统筹实施教师人才队伍发展规划。</w:t>
      </w:r>
      <w:r>
        <w:rPr>
          <w:rFonts w:hint="eastAsia"/>
        </w:rPr>
        <w:t>将</w:t>
      </w:r>
      <w:r>
        <w:t>人才工作纳入校院两级党委会研究的重要内容，纳入二级党组织书记抓基层党建述职评议考核内容</w:t>
      </w:r>
      <w:r>
        <w:rPr>
          <w:rFonts w:hint="eastAsia"/>
        </w:rPr>
        <w:t>，加强</w:t>
      </w:r>
      <w:r>
        <w:t>对人才的联系服务和关心关爱</w:t>
      </w:r>
      <w:r>
        <w:rPr>
          <w:rFonts w:hint="eastAsia"/>
        </w:rPr>
        <w:t>，持续做好人才队伍的国情研修和红色教育培训。落实基础研究人才专项计划，落实基础研究人才、青年科技人才长期稳定支持机制。</w:t>
      </w:r>
      <w:r>
        <w:rPr>
          <w:rFonts w:hint="eastAsia"/>
          <w:color w:val="000000"/>
        </w:rPr>
        <w:t>进一步健全“教研型”、</w:t>
      </w:r>
      <w:r>
        <w:rPr>
          <w:rFonts w:hint="eastAsia"/>
          <w:color w:val="000000"/>
        </w:rPr>
        <w:t>“教学型”、“研究型”教师分系列聘任体系，在新聘教研系列教师中全面实施“预聘</w:t>
      </w:r>
      <w:r>
        <w:rPr>
          <w:color w:val="000000"/>
        </w:rPr>
        <w:t>-</w:t>
      </w:r>
      <w:r>
        <w:rPr>
          <w:color w:val="000000"/>
        </w:rPr>
        <w:t>长聘制</w:t>
      </w:r>
      <w:r>
        <w:rPr>
          <w:color w:val="000000"/>
        </w:rPr>
        <w:t>”</w:t>
      </w:r>
      <w:r>
        <w:rPr>
          <w:color w:val="000000"/>
        </w:rPr>
        <w:t>，</w:t>
      </w:r>
      <w:r>
        <w:rPr>
          <w:rFonts w:hint="eastAsia"/>
          <w:color w:val="000000"/>
        </w:rPr>
        <w:t>进一步</w:t>
      </w:r>
      <w:r>
        <w:rPr>
          <w:color w:val="000000"/>
        </w:rPr>
        <w:t>优化师资队伍结构。</w:t>
      </w:r>
      <w:r w:rsidRPr="00D44941">
        <w:rPr>
          <w:rFonts w:hint="eastAsia"/>
          <w:color w:val="000000"/>
        </w:rPr>
        <w:t>充分发挥学部和院系学术委员会、教学指导委员会作用，进一步完善人才评价标准，优化学科内部师资资源配置。</w:t>
      </w:r>
      <w:r>
        <w:rPr>
          <w:rFonts w:hint="eastAsia"/>
        </w:rPr>
        <w:t>实施中山大学逸仙博士后计划，加大对博士后优秀人才的培育支持力度，打造高水平师资队伍的后备力量和青年科研人才的生力军。</w:t>
      </w:r>
    </w:p>
    <w:p w:rsidR="00A769C9" w:rsidP="00C71ED9">
      <w:pPr>
        <w:adjustRightInd w:val="0"/>
        <w:snapToGrid w:val="0"/>
        <w:spacing w:line="560" w:lineRule="exact"/>
        <w:ind w:firstLine="640" w:firstLineChars="200"/>
        <w:jc w:val="both"/>
        <w:rPr>
          <w:rFonts w:ascii="仿宋_GB2312" w:hAnsi="宋体" w:cs="宋体"/>
          <w:lang w:bidi="ar"/>
        </w:rPr>
      </w:pPr>
      <w:r>
        <w:rPr>
          <w:rFonts w:hint="eastAsia"/>
          <w:b/>
        </w:rPr>
        <w:t>13</w:t>
      </w:r>
      <w:r>
        <w:rPr>
          <w:b/>
        </w:rPr>
        <w:t>.</w:t>
      </w:r>
      <w:r>
        <w:rPr>
          <w:rFonts w:hint="eastAsia"/>
          <w:b/>
        </w:rPr>
        <w:t>着力</w:t>
      </w:r>
      <w:r>
        <w:rPr>
          <w:b/>
        </w:rPr>
        <w:t>提升干部教育培训质量</w:t>
      </w:r>
      <w:r>
        <w:rPr>
          <w:rFonts w:hint="eastAsia"/>
          <w:b/>
        </w:rPr>
        <w:t>。</w:t>
      </w:r>
      <w:r>
        <w:t>制定实施党校教育培训年度计划，分类分层开展教育培训，推进干部人才一体化培养。进一步完善</w:t>
      </w:r>
      <w:r>
        <w:t>“</w:t>
      </w:r>
      <w:r>
        <w:t>青年干部</w:t>
      </w:r>
      <w:r>
        <w:t>+</w:t>
      </w:r>
      <w:r>
        <w:t>青年人才</w:t>
      </w:r>
      <w:r>
        <w:t>”</w:t>
      </w:r>
      <w:r>
        <w:t>后备干部培养课程体系，举办青年人才培训班（</w:t>
      </w:r>
      <w:r>
        <w:t>第</w:t>
      </w:r>
      <w:r>
        <w:t>2</w:t>
      </w:r>
      <w:r>
        <w:t>期）、青年干部管理能力提升专题培训班（第</w:t>
      </w:r>
      <w:r>
        <w:t>4</w:t>
      </w:r>
      <w:r>
        <w:t>期）、新上岗中层领导人员培训班（第</w:t>
      </w:r>
      <w:r>
        <w:t>22</w:t>
      </w:r>
      <w:r>
        <w:t>期）、中层领导人员、青年人才红色教育专题研讨班、附属医院青年干部管理培训班</w:t>
      </w:r>
      <w:r>
        <w:t>（第</w:t>
      </w:r>
      <w:r>
        <w:t>2</w:t>
      </w:r>
      <w:r>
        <w:t>期）、喀什专项教育培训班（第</w:t>
      </w:r>
      <w:r>
        <w:t>7</w:t>
      </w:r>
      <w:r>
        <w:t>期）等主体班次，打造教育培训精品项目。加强培训工作调研，做好主体班次评价评教工作，不断优化培训课程设置和师资遴选，切实提升教育培训的质量和水平。认真做好上级调训工作，积极选派推荐干部人才参加上级部门组织的各类培训。组织开展教职工和学生入党发展对象集中培训。完成党务管理系统第四期建设。</w:t>
      </w:r>
    </w:p>
    <w:p w:rsidR="00A769C9" w:rsidP="00C71ED9">
      <w:pPr>
        <w:spacing w:line="560" w:lineRule="exact"/>
        <w:ind w:firstLine="646"/>
        <w:jc w:val="both"/>
        <w:rPr>
          <w:b/>
          <w:spacing w:val="-2"/>
        </w:rPr>
      </w:pPr>
      <w:r>
        <w:rPr>
          <w:rFonts w:hint="eastAsia"/>
          <w:b/>
        </w:rPr>
        <w:t>14</w:t>
      </w:r>
      <w:r>
        <w:rPr>
          <w:b/>
        </w:rPr>
        <w:t>.</w:t>
      </w:r>
      <w:r>
        <w:rPr>
          <w:rFonts w:hint="eastAsia"/>
          <w:b/>
        </w:rPr>
        <w:t xml:space="preserve"> </w:t>
      </w:r>
      <w:r>
        <w:rPr>
          <w:b/>
          <w:spacing w:val="-2"/>
        </w:rPr>
        <w:t>加强党对统一战线工作的集</w:t>
      </w:r>
      <w:r>
        <w:rPr>
          <w:b/>
          <w:spacing w:val="-2"/>
        </w:rPr>
        <w:t>中统一领导。</w:t>
      </w:r>
      <w:r>
        <w:rPr>
          <w:rFonts w:hint="eastAsia"/>
          <w:bCs/>
          <w:spacing w:val="-2"/>
        </w:rPr>
        <w:t>深入学习贯彻习近平总书记关于做好新时代党的统一战线工作的重要思想，贯彻落实中央统战工作会议精神，</w:t>
      </w:r>
      <w:r>
        <w:rPr>
          <w:rFonts w:hint="eastAsia"/>
          <w:spacing w:val="-2"/>
        </w:rPr>
        <w:t>落实</w:t>
      </w:r>
      <w:r>
        <w:rPr>
          <w:spacing w:val="-2"/>
        </w:rPr>
        <w:t>《中国共产党统一战线工作条例》</w:t>
      </w:r>
      <w:r>
        <w:rPr>
          <w:rFonts w:hint="eastAsia"/>
          <w:spacing w:val="-2"/>
        </w:rPr>
        <w:t>，</w:t>
      </w:r>
      <w:r>
        <w:rPr>
          <w:spacing w:val="-2"/>
        </w:rPr>
        <w:t>完善</w:t>
      </w:r>
      <w:r>
        <w:rPr>
          <w:spacing w:val="-2"/>
        </w:rPr>
        <w:t xml:space="preserve"> “</w:t>
      </w:r>
      <w:r>
        <w:rPr>
          <w:spacing w:val="-2"/>
        </w:rPr>
        <w:t>校党委</w:t>
      </w:r>
      <w:r>
        <w:rPr>
          <w:spacing w:val="-2"/>
        </w:rPr>
        <w:softHyphen/>
      </w:r>
      <w:r>
        <w:rPr>
          <w:rFonts w:hint="eastAsia"/>
          <w:spacing w:val="-2"/>
        </w:rPr>
        <w:t>—</w:t>
      </w:r>
      <w:r>
        <w:rPr>
          <w:spacing w:val="-2"/>
        </w:rPr>
        <w:t>二级党组织</w:t>
      </w:r>
      <w:r>
        <w:rPr>
          <w:rFonts w:hint="eastAsia"/>
          <w:spacing w:val="-2"/>
        </w:rPr>
        <w:t>—</w:t>
      </w:r>
      <w:r>
        <w:rPr>
          <w:spacing w:val="-2"/>
        </w:rPr>
        <w:t>党支部</w:t>
      </w:r>
      <w:r>
        <w:rPr>
          <w:spacing w:val="-2"/>
        </w:rPr>
        <w:t>”</w:t>
      </w:r>
      <w:r>
        <w:rPr>
          <w:spacing w:val="-2"/>
        </w:rPr>
        <w:t>三级统战工作网络，夯实</w:t>
      </w:r>
      <w:r>
        <w:rPr>
          <w:rFonts w:hint="eastAsia"/>
          <w:spacing w:val="-2"/>
        </w:rPr>
        <w:t>学校大</w:t>
      </w:r>
      <w:r>
        <w:rPr>
          <w:spacing w:val="-2"/>
        </w:rPr>
        <w:t>统战工作格局。加强党外知识分子思想引领，落实关于加强和改进我校党外知识分子思想政治工作方案，继续组织开展党外代表人士研讨班，加强履职能力培训。完善党外代表人士队伍建设工作机制</w:t>
      </w:r>
      <w:r>
        <w:rPr>
          <w:rFonts w:hint="eastAsia"/>
          <w:spacing w:val="-2"/>
        </w:rPr>
        <w:t>，</w:t>
      </w:r>
      <w:r>
        <w:rPr>
          <w:spacing w:val="-2"/>
        </w:rPr>
        <w:t>加大党外优秀年轻人才的发现和培养力度</w:t>
      </w:r>
      <w:r>
        <w:rPr>
          <w:rFonts w:hint="eastAsia"/>
          <w:spacing w:val="-2"/>
        </w:rPr>
        <w:t>，</w:t>
      </w:r>
      <w:r>
        <w:rPr>
          <w:spacing w:val="-2"/>
        </w:rPr>
        <w:t>推进无党派人士政治面貌认定。着力做好民族宗教工作，贯彻落实学校党委关于深化民族团结进步教</w:t>
      </w:r>
      <w:r>
        <w:rPr>
          <w:spacing w:val="-2"/>
        </w:rPr>
        <w:t>育工作、关于抵御和防范宗教渗透工作</w:t>
      </w:r>
      <w:r>
        <w:rPr>
          <w:rFonts w:hint="eastAsia"/>
          <w:spacing w:val="-2"/>
        </w:rPr>
        <w:t>的要求</w:t>
      </w:r>
      <w:r>
        <w:rPr>
          <w:spacing w:val="-2"/>
        </w:rPr>
        <w:t>，完善民族宗教工作协调机制。</w:t>
      </w:r>
      <w:r>
        <w:rPr>
          <w:rFonts w:hint="eastAsia"/>
          <w:spacing w:val="-2"/>
        </w:rPr>
        <w:t>坚持教育与宗教相分离原则，持续</w:t>
      </w:r>
      <w:r>
        <w:rPr>
          <w:spacing w:val="-2"/>
        </w:rPr>
        <w:t>开展宣传</w:t>
      </w:r>
      <w:r>
        <w:rPr>
          <w:rFonts w:hint="eastAsia"/>
          <w:spacing w:val="-2"/>
        </w:rPr>
        <w:t>教育</w:t>
      </w:r>
      <w:r>
        <w:rPr>
          <w:spacing w:val="-2"/>
        </w:rPr>
        <w:t>，铸牢师生中华民族共同体意识。加强专</w:t>
      </w:r>
      <w:r>
        <w:rPr>
          <w:rFonts w:hint="eastAsia"/>
          <w:spacing w:val="-2"/>
        </w:rPr>
        <w:t>、</w:t>
      </w:r>
      <w:r>
        <w:rPr>
          <w:spacing w:val="-2"/>
        </w:rPr>
        <w:t>兼职统战干部队伍培训</w:t>
      </w:r>
      <w:r>
        <w:rPr>
          <w:rFonts w:hint="eastAsia"/>
          <w:spacing w:val="-2"/>
        </w:rPr>
        <w:t>，</w:t>
      </w:r>
      <w:r>
        <w:rPr>
          <w:spacing w:val="-2"/>
        </w:rPr>
        <w:t>提升干部统战工作意识和业务能力。</w:t>
      </w:r>
    </w:p>
    <w:p w:rsidR="00A769C9" w:rsidP="00C71ED9">
      <w:pPr>
        <w:adjustRightInd w:val="0"/>
        <w:snapToGrid w:val="0"/>
        <w:spacing w:line="560" w:lineRule="exact"/>
        <w:ind w:firstLine="640" w:firstLineChars="200"/>
        <w:jc w:val="both"/>
        <w:rPr>
          <w:b/>
        </w:rPr>
      </w:pPr>
      <w:r>
        <w:rPr>
          <w:b/>
          <w:spacing w:val="-2"/>
        </w:rPr>
        <w:t>1</w:t>
      </w:r>
      <w:r>
        <w:rPr>
          <w:rFonts w:hint="eastAsia"/>
          <w:b/>
          <w:spacing w:val="-2"/>
        </w:rPr>
        <w:t>5</w:t>
      </w:r>
      <w:r>
        <w:rPr>
          <w:b/>
          <w:spacing w:val="-2"/>
        </w:rPr>
        <w:t>.</w:t>
      </w:r>
      <w:r>
        <w:rPr>
          <w:rFonts w:hint="eastAsia"/>
          <w:b/>
          <w:spacing w:val="-2"/>
        </w:rPr>
        <w:t>着力推进帮扶点乡村振兴工作。</w:t>
      </w:r>
      <w:r>
        <w:rPr>
          <w:rFonts w:ascii="仿宋_GB2312" w:hint="eastAsia"/>
        </w:rPr>
        <w:t>认真贯彻落实党中央关于全面推进乡村振兴的战略部署，落实</w:t>
      </w:r>
      <w:r>
        <w:rPr>
          <w:rFonts w:ascii="仿宋_GB2312" w:hAnsi="仿宋_GB2312" w:hint="eastAsia"/>
        </w:rPr>
        <w:t>教育部和广东省的相关要求，</w:t>
      </w:r>
      <w:r>
        <w:rPr>
          <w:rFonts w:ascii="仿宋_GB2312" w:hAnsi="仿宋_GB2312" w:hint="eastAsia"/>
        </w:rPr>
        <w:t>紧扣帮扶点需求和</w:t>
      </w:r>
      <w:r>
        <w:rPr>
          <w:rFonts w:ascii="仿宋_GB2312" w:hint="eastAsia"/>
        </w:rPr>
        <w:t>学校资源优势，</w:t>
      </w:r>
      <w:r>
        <w:rPr>
          <w:rFonts w:ascii="仿宋_GB2312" w:hAnsi="仿宋_GB2312" w:hint="eastAsia"/>
        </w:rPr>
        <w:t>扎实开展好定点帮扶云南省凤庆县和广东省连州市丰阳镇工作。发挥学校资源优势，</w:t>
      </w:r>
      <w:r>
        <w:rPr>
          <w:rFonts w:ascii="仿宋_GB2312" w:hint="eastAsia"/>
        </w:rPr>
        <w:t>发动校友和社会资源，推进一批服务乡村振兴的特色帮扶项目，支持帮扶点特色</w:t>
      </w:r>
      <w:r>
        <w:rPr>
          <w:rFonts w:ascii="仿宋_GB2312" w:hint="eastAsia"/>
        </w:rPr>
        <w:t>产业高质量发展。推进“组团式”派驻医疗帮扶。组织基层干部和专业技术人才培训。组织师生到帮扶点开展实践育人活动，推动乡村振兴与人才培养有机结合。做好“土特产”文章，助力凤庆、连州丰阳</w:t>
      </w:r>
      <w:r w:rsidRPr="00E1179A">
        <w:rPr>
          <w:rFonts w:ascii="仿宋_GB2312" w:hint="eastAsia"/>
        </w:rPr>
        <w:t>一二三</w:t>
      </w:r>
      <w:r>
        <w:rPr>
          <w:rFonts w:ascii="仿宋_GB2312" w:hint="eastAsia"/>
        </w:rPr>
        <w:t>产业融合发展。继续牵头开展高校旅游帮扶联盟工作。</w:t>
      </w:r>
    </w:p>
    <w:p w:rsidR="00A769C9" w:rsidP="00C71ED9">
      <w:pPr>
        <w:spacing w:line="560" w:lineRule="exact"/>
        <w:ind w:firstLine="640"/>
        <w:rPr>
          <w:rFonts w:eastAsia="黑体"/>
        </w:rPr>
      </w:pPr>
      <w:r>
        <w:rPr>
          <w:rFonts w:eastAsia="黑体" w:hint="eastAsia"/>
        </w:rPr>
        <w:t>五、压紧压实意识形态工作责任制，主动防范化解风险，牢牢守住校园安全稳定底线</w:t>
      </w:r>
    </w:p>
    <w:p w:rsidR="00A769C9" w:rsidP="00C71ED9">
      <w:pPr>
        <w:spacing w:line="560" w:lineRule="exact"/>
        <w:ind w:firstLine="640" w:firstLineChars="200"/>
        <w:jc w:val="both"/>
        <w:rPr>
          <w:rFonts w:ascii="仿宋_GB2312"/>
          <w:color w:val="7030A0"/>
        </w:rPr>
      </w:pPr>
      <w:r>
        <w:rPr>
          <w:b/>
        </w:rPr>
        <w:t>16.</w:t>
      </w:r>
      <w:r>
        <w:rPr>
          <w:b/>
        </w:rPr>
        <w:t>把政治安全和意识形态安全摆在首位。</w:t>
      </w:r>
      <w:r>
        <w:rPr>
          <w:rFonts w:hint="eastAsia"/>
        </w:rPr>
        <w:t>坚持安全第一、预防为主，防范化解重大风险，牢牢守住不发生系统性风险底线。巩固马克思主义在意识形态领域的指导地位，严格落实意识形态工作责任制，落实</w:t>
      </w:r>
      <w:r>
        <w:rPr>
          <w:rFonts w:ascii="仿宋_GB2312" w:hint="eastAsia"/>
        </w:rPr>
        <w:t>学校关于贯彻落实</w:t>
      </w:r>
      <w:r>
        <w:rPr>
          <w:rFonts w:ascii="仿宋_GB2312" w:hint="eastAsia"/>
        </w:rPr>
        <w:t>意识形态工作责任制的实施细则</w:t>
      </w:r>
      <w:r>
        <w:rPr>
          <w:rFonts w:ascii="仿宋_GB2312" w:hAnsi="仿宋_GB2312" w:hint="eastAsia"/>
        </w:rPr>
        <w:t>，</w:t>
      </w:r>
      <w:r>
        <w:rPr>
          <w:rFonts w:ascii="仿宋_GB2312" w:hint="eastAsia"/>
        </w:rPr>
        <w:t>加强学校意识形态阵地管理，健全</w:t>
      </w:r>
      <w:r>
        <w:rPr>
          <w:rFonts w:hint="eastAsia"/>
        </w:rPr>
        <w:t>舆情监测、研判、处置、报告等工作机制。强化重大事项安全稳定风险评估工作机制，完成学校</w:t>
      </w:r>
      <w:r>
        <w:rPr>
          <w:rFonts w:ascii="仿宋_GB2312" w:hAnsi="仿宋_GB2312" w:hint="eastAsia"/>
        </w:rPr>
        <w:t>总体应急预案及专项预案修订，进一步规范校院两级应急值守工作</w:t>
      </w:r>
      <w:r>
        <w:rPr>
          <w:rFonts w:hint="eastAsia"/>
        </w:rPr>
        <w:t>。加强国家安全教育。</w:t>
      </w:r>
      <w:r>
        <w:rPr>
          <w:rFonts w:ascii="仿宋_GB2312" w:hint="eastAsia"/>
        </w:rPr>
        <w:t>完善人才安全工作机制，加强政治审核把关和风险防控工作。</w:t>
      </w:r>
    </w:p>
    <w:p w:rsidR="00A769C9" w:rsidP="00C71ED9">
      <w:pPr>
        <w:spacing w:line="560" w:lineRule="exact"/>
        <w:ind w:firstLine="641"/>
        <w:jc w:val="both"/>
        <w:rPr>
          <w:rFonts w:ascii="仿宋_GB2312" w:cs="宋体"/>
        </w:rPr>
      </w:pPr>
      <w:r w:rsidRPr="00D44941">
        <w:rPr>
          <w:b/>
        </w:rPr>
        <w:t>1</w:t>
      </w:r>
      <w:r>
        <w:rPr>
          <w:b/>
        </w:rPr>
        <w:t>7</w:t>
      </w:r>
      <w:r w:rsidRPr="00D44941">
        <w:rPr>
          <w:b/>
        </w:rPr>
        <w:t>.</w:t>
      </w:r>
      <w:r w:rsidRPr="00D44941">
        <w:rPr>
          <w:rFonts w:hint="eastAsia"/>
          <w:b/>
        </w:rPr>
        <w:t>切实加强平安校园建设。</w:t>
      </w:r>
      <w:r>
        <w:rPr>
          <w:rFonts w:hint="eastAsia"/>
        </w:rPr>
        <w:t>压实压紧安全责任，做好校园消防、治安、交通、食品、实验室等领域公共安全预防及专项治理，深入开展安全稳定风险隐患排查整治，提高安全宣教、安全</w:t>
      </w:r>
      <w:r>
        <w:rPr>
          <w:rFonts w:hint="eastAsia"/>
        </w:rPr>
        <w:t>督察和应急处置工作水平，落实更高水平“安全文明校园（平安校园）”创建</w:t>
      </w:r>
      <w:r>
        <w:rPr>
          <w:rFonts w:hint="eastAsia"/>
        </w:rPr>
        <w:t>工作。</w:t>
      </w:r>
      <w:r w:rsidRPr="00D44941">
        <w:t>认真落实</w:t>
      </w:r>
      <w:r w:rsidRPr="00D44941">
        <w:t>“</w:t>
      </w:r>
      <w:r w:rsidRPr="00D44941">
        <w:t>乙类乙管</w:t>
      </w:r>
      <w:r w:rsidRPr="00D44941">
        <w:t>”</w:t>
      </w:r>
      <w:r w:rsidRPr="00D44941">
        <w:t>下疫情防控各项举措，做好师生员工健康监测，继续落实因病缺勤报告制度和健康驿站管理制度，完善</w:t>
      </w:r>
      <w:r w:rsidRPr="00D44941">
        <w:rPr>
          <w:rFonts w:hint="eastAsia"/>
        </w:rPr>
        <w:t>“</w:t>
      </w:r>
      <w:r w:rsidRPr="00D44941">
        <w:rPr>
          <w:rFonts w:hint="eastAsia"/>
        </w:rPr>
        <w:t>4</w:t>
      </w:r>
      <w:r w:rsidRPr="00D44941">
        <w:t>本台账</w:t>
      </w:r>
      <w:r w:rsidRPr="00D44941">
        <w:rPr>
          <w:rFonts w:hint="eastAsia"/>
        </w:rPr>
        <w:t>”</w:t>
      </w:r>
      <w:r w:rsidRPr="00D44941">
        <w:t>及相关人员的健康管理，做好常态化疫情及其他校园传染病防控。</w:t>
      </w:r>
    </w:p>
    <w:p w:rsidR="00A769C9" w:rsidP="00C71ED9">
      <w:pPr>
        <w:adjustRightInd w:val="0"/>
        <w:snapToGrid w:val="0"/>
        <w:spacing w:line="560" w:lineRule="exact"/>
        <w:ind w:firstLine="640" w:firstLineChars="200"/>
        <w:jc w:val="both"/>
        <w:rPr>
          <w:rFonts w:ascii="仿宋_GB2312" w:hAnsi="仿宋_GB2312"/>
          <w:b/>
        </w:rPr>
      </w:pPr>
      <w:r>
        <w:rPr>
          <w:rFonts w:hint="eastAsia"/>
          <w:b/>
        </w:rPr>
        <w:t>1</w:t>
      </w:r>
      <w:r>
        <w:rPr>
          <w:b/>
        </w:rPr>
        <w:t>8.</w:t>
      </w:r>
      <w:r>
        <w:rPr>
          <w:rFonts w:hint="eastAsia"/>
          <w:b/>
        </w:rPr>
        <w:t>增强群团工作实效。</w:t>
      </w:r>
      <w:r>
        <w:rPr>
          <w:rFonts w:hint="eastAsia"/>
        </w:rPr>
        <w:t>切实履行教代会、工代会职能，引导教职工积极参与民主管理，凝聚学校改革发展共识。完善并发挥二级“双代会”在团结教职工推进院系发展的积极作用。组织开展教职工喜闻乐见、寓教于乐的群众文化活动，支持和指导二级工会、教职工协会开展精品活动，继续推进学院党政工共建“教职工小家”。加强学校共青团工作，</w:t>
      </w:r>
      <w:r w:rsidRPr="00F22A41" w:rsidR="00F22A41">
        <w:rPr>
          <w:rFonts w:hint="eastAsia"/>
        </w:rPr>
        <w:t>切实增强政治性、先进性、群众性</w:t>
      </w:r>
      <w:r w:rsidR="00F22A41">
        <w:rPr>
          <w:rFonts w:hint="eastAsia"/>
        </w:rPr>
        <w:t>，</w:t>
      </w:r>
      <w:r w:rsidRPr="007C4B23">
        <w:rPr>
          <w:rFonts w:ascii="仿宋_GB2312" w:hint="eastAsia"/>
        </w:rPr>
        <w:t>夯实共青团基层组织建设</w:t>
      </w:r>
      <w:r>
        <w:rPr>
          <w:rFonts w:ascii="仿宋_GB2312" w:hint="eastAsia"/>
        </w:rPr>
        <w:t>，</w:t>
      </w:r>
      <w:r w:rsidRPr="00D44941">
        <w:rPr>
          <w:rFonts w:hint="eastAsia"/>
        </w:rPr>
        <w:t>巩固和深化学生会、研究生会改革成果</w:t>
      </w:r>
      <w:r>
        <w:rPr>
          <w:rFonts w:hint="eastAsia"/>
        </w:rPr>
        <w:t>。完善学生资助和教职工帮扶保障体系。</w:t>
      </w:r>
    </w:p>
    <w:p w:rsidR="00A769C9" w:rsidP="00C71ED9">
      <w:pPr>
        <w:spacing w:line="560" w:lineRule="exact"/>
        <w:ind w:firstLine="640" w:firstLineChars="200"/>
        <w:jc w:val="both"/>
        <w:rPr>
          <w:rFonts w:ascii="仿宋_GB2312" w:cs="宋体"/>
        </w:rPr>
      </w:pPr>
      <w:r>
        <w:rPr>
          <w:b/>
        </w:rPr>
        <w:t>19.</w:t>
      </w:r>
      <w:r>
        <w:rPr>
          <w:rFonts w:hint="eastAsia"/>
          <w:b/>
        </w:rPr>
        <w:t>加强和改进人民</w:t>
      </w:r>
      <w:r>
        <w:rPr>
          <w:b/>
        </w:rPr>
        <w:t>信访工作</w:t>
      </w:r>
      <w:r>
        <w:rPr>
          <w:rFonts w:hint="eastAsia"/>
          <w:b/>
        </w:rPr>
        <w:t>。</w:t>
      </w:r>
      <w:r>
        <w:rPr>
          <w:rFonts w:ascii="仿宋_GB2312" w:cs="宋体" w:hint="eastAsia"/>
        </w:rPr>
        <w:t>持续抓好《信访工作条例》学习宣传贯彻工作，继续完善信访工作统筹协调机制、干部下访机制、多元化解机制、基层考核机制、责任追究机制和工作保障机制，推动信访工作依法规范运行，优化信访事项处理程序，更好地把信访工作转化为办学治校效能，为学校高质量内涵式发展提供保障。</w:t>
      </w:r>
    </w:p>
    <w:p w:rsidR="00A769C9" w:rsidP="00C71ED9">
      <w:pPr>
        <w:spacing w:line="560" w:lineRule="exact"/>
        <w:ind w:firstLine="640" w:firstLineChars="200"/>
        <w:jc w:val="both"/>
        <w:rPr>
          <w:rFonts w:ascii="仿宋_GB2312" w:hAnsi="仿宋"/>
        </w:rPr>
      </w:pPr>
      <w:r>
        <w:rPr>
          <w:b/>
        </w:rPr>
        <w:t>20</w:t>
      </w:r>
      <w:r>
        <w:rPr>
          <w:rFonts w:hint="eastAsia"/>
          <w:b/>
        </w:rPr>
        <w:t>.</w:t>
      </w:r>
      <w:r>
        <w:rPr>
          <w:rFonts w:hint="eastAsia"/>
          <w:b/>
        </w:rPr>
        <w:t>不断提升保密工作质量。</w:t>
      </w:r>
      <w:r>
        <w:rPr>
          <w:rFonts w:ascii="仿宋_GB2312" w:hAnsi="仿宋" w:hint="eastAsia"/>
        </w:rPr>
        <w:t>坚持党管保密，落实保密工作责任制。加强涉密人员管理、定密管理、网络保密管理。继续开展保密工作制度建设，</w:t>
      </w:r>
      <w:r>
        <w:t>2023</w:t>
      </w:r>
      <w:r>
        <w:rPr>
          <w:rFonts w:ascii="仿宋_GB2312" w:hAnsi="仿宋" w:hint="eastAsia"/>
        </w:rPr>
        <w:t>年上半年完成保密工作制度“废改</w:t>
      </w:r>
      <w:r>
        <w:rPr>
          <w:rFonts w:ascii="仿宋_GB2312" w:hAnsi="仿宋" w:hint="eastAsia"/>
        </w:rPr>
        <w:t>立”，优化保密审查审批环节。常态化开展保密宣传教育，开展分层次、分类别、分校区的保密教育培训，提升师生员工的保密意识和保密常识。加强保密监督检查，提升保密检查技术手段，做好保密检查总结和风险评估，强化检查结果运用。做好第四次军工保密资质认证的迎检工作。</w:t>
      </w:r>
    </w:p>
    <w:p w:rsidR="00A769C9" w:rsidP="00C71ED9">
      <w:pPr>
        <w:spacing w:line="560" w:lineRule="exact"/>
        <w:ind w:firstLine="640" w:firstLineChars="200"/>
        <w:rPr>
          <w:rFonts w:eastAsia="黑体"/>
        </w:rPr>
      </w:pPr>
      <w:r>
        <w:rPr>
          <w:rFonts w:ascii="黑体" w:eastAsia="黑体" w:hAnsi="黑体" w:hint="eastAsia"/>
          <w:bCs/>
          <w:color w:val="000000"/>
        </w:rPr>
        <w:t>六、</w:t>
      </w:r>
      <w:bookmarkStart w:id="2" w:name="_Hlk127894829"/>
      <w:r>
        <w:rPr>
          <w:rFonts w:ascii="黑体" w:eastAsia="黑体" w:hAnsi="黑体" w:hint="eastAsia"/>
          <w:bCs/>
          <w:color w:val="000000"/>
        </w:rPr>
        <w:t>驰而不息推进全面从严治党</w:t>
      </w:r>
      <w:bookmarkEnd w:id="2"/>
      <w:r>
        <w:rPr>
          <w:rFonts w:ascii="黑体" w:eastAsia="黑体" w:hAnsi="黑体" w:hint="eastAsia"/>
          <w:bCs/>
          <w:color w:val="000000"/>
        </w:rPr>
        <w:t>，不折不扣落实新时代全面从严治党新精神新要求</w:t>
      </w:r>
    </w:p>
    <w:p w:rsidR="00A769C9" w:rsidRPr="0003530F" w:rsidP="00C71ED9">
      <w:pPr>
        <w:spacing w:line="560" w:lineRule="exact"/>
        <w:ind w:firstLine="640" w:firstLineChars="200"/>
        <w:jc w:val="both"/>
        <w:rPr>
          <w:b/>
          <w:shd w:val="pct15" w:color="auto" w:fill="FFFFFF"/>
        </w:rPr>
      </w:pPr>
      <w:r>
        <w:rPr>
          <w:rFonts w:hint="eastAsia"/>
          <w:b/>
        </w:rPr>
        <w:t>2</w:t>
      </w:r>
      <w:r>
        <w:rPr>
          <w:b/>
        </w:rPr>
        <w:t>1.</w:t>
      </w:r>
      <w:r>
        <w:rPr>
          <w:rFonts w:hint="eastAsia"/>
          <w:b/>
        </w:rPr>
        <w:t>不断完善</w:t>
      </w:r>
      <w:r>
        <w:rPr>
          <w:b/>
        </w:rPr>
        <w:t>全面从严治党</w:t>
      </w:r>
      <w:r>
        <w:rPr>
          <w:rFonts w:hint="eastAsia"/>
          <w:b/>
        </w:rPr>
        <w:t>体系。</w:t>
      </w:r>
      <w:r>
        <w:t>把全面从严治</w:t>
      </w:r>
      <w:r>
        <w:t>党</w:t>
      </w:r>
      <w:r>
        <w:rPr>
          <w:rFonts w:hint="eastAsia"/>
        </w:rPr>
        <w:t>体系建设体现在党的政治建设、思想建设、组织建设、作风建设、纪律建设、制度建设和反腐败斗争等各项工作中。将党的建设与教育改革发展同谋划、同部署、同推进、同考核，把全的要求、严的基调、治的理念落实到学校各级党组织党的建设的全过程各方面。</w:t>
      </w:r>
      <w:r>
        <w:rPr>
          <w:rFonts w:ascii="仿宋_GB2312" w:hAnsi="微软雅黑" w:hint="eastAsia"/>
          <w:color w:val="000000"/>
        </w:rPr>
        <w:t>层层压实学校各级党组织主体责任。党组织书记要扛起第一责任人责任，做到重要工作亲自部署，重大问题亲自过问，重点环节亲自协调，重要案件亲自督办。班子成员要切实担负“一岗双责”，对分管领域、部门全面从严治党工作负责。用好问责利器，坚持失责必问、问责必究，做到实事求是、精准规范。</w:t>
      </w:r>
      <w:r>
        <w:t>强化制</w:t>
      </w:r>
      <w:r>
        <w:t>度执行，</w:t>
      </w:r>
      <w:r>
        <w:rPr>
          <w:rFonts w:hint="eastAsia"/>
        </w:rPr>
        <w:t>狠抓制度落实，以制度执行的实际成效为学校事业高质量发展保驾护航</w:t>
      </w:r>
      <w:r>
        <w:t>。</w:t>
      </w:r>
      <w:r>
        <w:rPr>
          <w:rFonts w:hint="eastAsia"/>
        </w:rPr>
        <w:t>促进各类监督贯通协调，</w:t>
      </w:r>
      <w:r w:rsidRPr="00287A7B">
        <w:rPr>
          <w:rFonts w:hint="eastAsia"/>
        </w:rPr>
        <w:t>发挥党内监督主导作用，促进党委全面监督、纪律检查机关专责监督、</w:t>
      </w:r>
      <w:r>
        <w:rPr>
          <w:rFonts w:hint="eastAsia"/>
        </w:rPr>
        <w:t>职能</w:t>
      </w:r>
      <w:r w:rsidRPr="00287A7B">
        <w:rPr>
          <w:rFonts w:hint="eastAsia"/>
        </w:rPr>
        <w:t>部门职能监督、基层</w:t>
      </w:r>
      <w:r>
        <w:rPr>
          <w:rFonts w:hint="eastAsia"/>
        </w:rPr>
        <w:t>党</w:t>
      </w:r>
      <w:r w:rsidRPr="00287A7B">
        <w:rPr>
          <w:rFonts w:hint="eastAsia"/>
        </w:rPr>
        <w:t>组织日常监督、党员民主监督与审计监督、财会监督、群众监督、舆论监督等有机贯通、形成合力</w:t>
      </w:r>
      <w:r>
        <w:rPr>
          <w:rFonts w:ascii="仿宋_GB2312" w:hAnsi="微软雅黑" w:hint="eastAsia"/>
          <w:color w:val="000000"/>
        </w:rPr>
        <w:t>。</w:t>
      </w:r>
    </w:p>
    <w:p w:rsidR="00A769C9" w:rsidP="00C71ED9">
      <w:pPr>
        <w:spacing w:line="560" w:lineRule="exact"/>
        <w:ind w:firstLine="640" w:firstLineChars="200"/>
        <w:jc w:val="both"/>
        <w:rPr>
          <w:b/>
        </w:rPr>
      </w:pPr>
      <w:r>
        <w:rPr>
          <w:rFonts w:hint="eastAsia"/>
          <w:b/>
        </w:rPr>
        <w:t>2</w:t>
      </w:r>
      <w:r>
        <w:rPr>
          <w:b/>
        </w:rPr>
        <w:t>2.</w:t>
      </w:r>
      <w:r>
        <w:rPr>
          <w:rFonts w:hint="eastAsia"/>
          <w:b/>
        </w:rPr>
        <w:t>加强对“关键少数”的教育管理监督。</w:t>
      </w:r>
      <w:r>
        <w:rPr>
          <w:rFonts w:hint="eastAsia"/>
        </w:rPr>
        <w:t>从严从实开展干部管理监督，抓住“关键少数”</w:t>
      </w:r>
      <w:r>
        <w:rPr>
          <w:rFonts w:ascii="仿宋_GB2312" w:hAnsi="微软雅黑"/>
          <w:color w:val="000000"/>
        </w:rPr>
        <w:t>以上率下</w:t>
      </w:r>
      <w:r>
        <w:rPr>
          <w:rFonts w:hint="eastAsia"/>
        </w:rPr>
        <w:t>，</w:t>
      </w:r>
      <w:r>
        <w:rPr>
          <w:rFonts w:ascii="仿宋_GB2312" w:hAnsi="微软雅黑"/>
          <w:color w:val="000000"/>
        </w:rPr>
        <w:t>强化对</w:t>
      </w:r>
      <w:r>
        <w:rPr>
          <w:rFonts w:ascii="仿宋_GB2312" w:hAnsi="微软雅黑" w:hint="eastAsia"/>
          <w:color w:val="000000"/>
        </w:rPr>
        <w:t>学校党委和二级党组织一把手和领导班子成员</w:t>
      </w:r>
      <w:r>
        <w:rPr>
          <w:rFonts w:ascii="仿宋_GB2312" w:hAnsi="微软雅黑"/>
          <w:color w:val="000000"/>
        </w:rPr>
        <w:t>的教育管理监督</w:t>
      </w:r>
      <w:r>
        <w:rPr>
          <w:rFonts w:hint="eastAsia"/>
        </w:rPr>
        <w:t>，持续抓好《中共中山大学委员会贯彻落实〈中共中央关于加强对“一把手”和领导班子监督的意见〉</w:t>
      </w:r>
      <w:r>
        <w:rPr>
          <w:rFonts w:hint="eastAsia"/>
        </w:rPr>
        <w:t>任务清</w:t>
      </w:r>
      <w:r>
        <w:rPr>
          <w:rFonts w:hint="eastAsia"/>
          <w:color w:val="000000"/>
        </w:rPr>
        <w:t>单、责任清单》中各项具体措施的执行。</w:t>
      </w:r>
      <w:r>
        <w:rPr>
          <w:rFonts w:hint="eastAsia"/>
        </w:rPr>
        <w:t>做好领导人员日常管理监督，贯彻落实领导干部报告个人有关事项新政策，进一步规范领导人员兼职、因私出国（境）等管理。落实《推进领导干部能上能下规定》和学校实施细则，常态化推进干部能上能下。</w:t>
      </w:r>
    </w:p>
    <w:p w:rsidR="00A769C9" w:rsidRPr="0003530F" w:rsidP="00C71ED9">
      <w:pPr>
        <w:spacing w:line="560" w:lineRule="exact"/>
        <w:ind w:firstLine="640" w:firstLineChars="200"/>
        <w:jc w:val="both"/>
        <w:rPr>
          <w:b/>
          <w:shd w:val="pct15" w:color="auto" w:fill="FFFFFF"/>
        </w:rPr>
      </w:pPr>
      <w:r>
        <w:rPr>
          <w:rFonts w:hint="eastAsia"/>
          <w:b/>
        </w:rPr>
        <w:t>2</w:t>
      </w:r>
      <w:r>
        <w:rPr>
          <w:b/>
        </w:rPr>
        <w:t>3.</w:t>
      </w:r>
      <w:r>
        <w:rPr>
          <w:b/>
        </w:rPr>
        <w:t>一体推进党风政风、师德师风、校风学风建设</w:t>
      </w:r>
      <w:r>
        <w:rPr>
          <w:rFonts w:hint="eastAsia"/>
          <w:b/>
        </w:rPr>
        <w:t>。</w:t>
      </w:r>
      <w:r>
        <w:rPr>
          <w:rFonts w:ascii="仿宋_GB2312" w:hint="eastAsia"/>
          <w:color w:val="000000"/>
        </w:rPr>
        <w:t>锲而不舍落实中央八项规定精神，持续深入纠治“四风”，</w:t>
      </w:r>
      <w:r>
        <w:rPr>
          <w:rFonts w:hint="eastAsia"/>
        </w:rPr>
        <w:t>持续为基层减负、为教师科研人员减负</w:t>
      </w:r>
      <w:r>
        <w:t>。</w:t>
      </w:r>
      <w:r>
        <w:rPr>
          <w:rFonts w:ascii="仿宋_GB2312" w:hint="eastAsia"/>
          <w:color w:val="000000"/>
        </w:rPr>
        <w:t>修订学校贯彻落实中央八项规定精神及实施细则的实施办法，制定实施学校各级党组织大兴调查研究的工作方案。</w:t>
      </w:r>
      <w:r>
        <w:rPr>
          <w:rFonts w:hint="eastAsia"/>
        </w:rPr>
        <w:t>持续督促严查师德违规问题，通报违规典型案例，严格</w:t>
      </w:r>
      <w:r>
        <w:rPr>
          <w:rFonts w:hint="eastAsia"/>
        </w:rPr>
        <w:t>执行师德失范“一票否决”制度</w:t>
      </w:r>
      <w:r>
        <w:t>，第一时间开展调查处置。</w:t>
      </w:r>
      <w:r>
        <w:rPr>
          <w:rFonts w:hint="eastAsia"/>
        </w:rPr>
        <w:t>坚持不懈培育优良校风和学风，</w:t>
      </w:r>
      <w:r>
        <w:t>对学术不端和科技违规行为时刻保持</w:t>
      </w:r>
      <w:r>
        <w:t>“</w:t>
      </w:r>
      <w:r>
        <w:t>零容忍</w:t>
      </w:r>
      <w:r>
        <w:t>”</w:t>
      </w:r>
      <w:r>
        <w:t>高压态势</w:t>
      </w:r>
      <w:r>
        <w:rPr>
          <w:kern w:val="0"/>
        </w:rPr>
        <w:t>，</w:t>
      </w:r>
      <w:r w:rsidRPr="003B5B31">
        <w:rPr>
          <w:kern w:val="0"/>
        </w:rPr>
        <w:t>“</w:t>
      </w:r>
      <w:r w:rsidRPr="003B5B31">
        <w:rPr>
          <w:kern w:val="0"/>
        </w:rPr>
        <w:t>教育、激励、规范、监督、惩戒</w:t>
      </w:r>
      <w:r w:rsidRPr="003B5B31">
        <w:rPr>
          <w:kern w:val="0"/>
        </w:rPr>
        <w:t>”</w:t>
      </w:r>
      <w:r w:rsidRPr="003B5B31">
        <w:rPr>
          <w:kern w:val="0"/>
        </w:rPr>
        <w:t>全面发力，</w:t>
      </w:r>
      <w:r>
        <w:rPr>
          <w:rFonts w:hint="eastAsia"/>
          <w:kern w:val="0"/>
        </w:rPr>
        <w:t>系统推进科研学风作风建设。</w:t>
      </w:r>
    </w:p>
    <w:p w:rsidR="00A769C9" w:rsidP="00C71ED9">
      <w:pPr>
        <w:spacing w:line="560" w:lineRule="exact"/>
        <w:ind w:firstLine="640" w:firstLineChars="200"/>
        <w:jc w:val="both"/>
        <w:rPr>
          <w:b/>
          <w:bCs/>
        </w:rPr>
      </w:pPr>
      <w:r>
        <w:rPr>
          <w:rFonts w:hint="eastAsia"/>
          <w:b/>
        </w:rPr>
        <w:t>2</w:t>
      </w:r>
      <w:r>
        <w:rPr>
          <w:b/>
        </w:rPr>
        <w:t>4</w:t>
      </w:r>
      <w:r>
        <w:rPr>
          <w:rFonts w:hint="eastAsia"/>
          <w:b/>
        </w:rPr>
        <w:t>.</w:t>
      </w:r>
      <w:r>
        <w:rPr>
          <w:rFonts w:hint="eastAsia"/>
          <w:b/>
        </w:rPr>
        <w:t>全面加强党的纪律建设。</w:t>
      </w:r>
      <w:r>
        <w:rPr>
          <w:rFonts w:hint="eastAsia"/>
        </w:rPr>
        <w:t>把纪律教育摆在更加突出的位置，经常抓、反复抓。学校党委和各二级党组织理论学习中心组、学校党校等把党章党规党纪教育作为必修课，谋划部署年度纪律教育学习活动，制定年度纪律教育计划</w:t>
      </w:r>
      <w:r>
        <w:rPr>
          <w:rFonts w:ascii="仿宋_GB2312" w:hAnsi="FZFSK--GBK1-0" w:hint="eastAsia"/>
          <w:bCs/>
          <w:color w:val="000000"/>
        </w:rPr>
        <w:t>，针对</w:t>
      </w:r>
      <w:r>
        <w:rPr>
          <w:rFonts w:hint="eastAsia"/>
        </w:rPr>
        <w:t>年轻干部、新提任</w:t>
      </w:r>
      <w:r>
        <w:rPr>
          <w:rFonts w:hint="eastAsia"/>
        </w:rPr>
        <w:t>领导人员、新入职教职工、入党积极分子、毕业生等群体开展针对性纪律教育、警示教育，实现全校各二级党组织对各党支部、全体党员和全体师生纪律教育</w:t>
      </w:r>
      <w:r>
        <w:t>全覆盖。</w:t>
      </w:r>
      <w:r>
        <w:rPr>
          <w:rFonts w:hint="eastAsia"/>
        </w:rPr>
        <w:t>坚持党性党风党纪一起抓，精准运用“四种形态”，</w:t>
      </w:r>
      <w:r>
        <w:rPr>
          <w:rFonts w:ascii="仿宋_GB2312" w:hAnsi="FZFSK--GBK1-0" w:hint="eastAsia"/>
          <w:bCs/>
          <w:color w:val="000000"/>
        </w:rPr>
        <w:t>严肃党内政治生活，坚持和完善民主生活会、组织生活会、党内谈心谈话制度，用好批评和自我批评武器，在用好“第一种形态”上下更大功夫，做细做实对党员干部经常性监督。</w:t>
      </w:r>
      <w:r>
        <w:rPr>
          <w:rFonts w:hint="eastAsia"/>
        </w:rPr>
        <w:t>持续加强新时代校园廉洁文化建设，</w:t>
      </w:r>
      <w:r>
        <w:rPr>
          <w:kern w:val="0"/>
        </w:rPr>
        <w:t>开展形式多样、贴近</w:t>
      </w:r>
      <w:r>
        <w:rPr>
          <w:rFonts w:hint="eastAsia"/>
          <w:kern w:val="0"/>
        </w:rPr>
        <w:t>师生</w:t>
      </w:r>
      <w:r>
        <w:rPr>
          <w:kern w:val="0"/>
        </w:rPr>
        <w:t>的校园廉洁文化活动。</w:t>
      </w:r>
    </w:p>
    <w:p w:rsidR="00A769C9" w:rsidP="00C71ED9">
      <w:pPr>
        <w:spacing w:line="560" w:lineRule="exact"/>
        <w:ind w:firstLine="641"/>
        <w:jc w:val="both"/>
      </w:pPr>
      <w:r>
        <w:rPr>
          <w:b/>
        </w:rPr>
        <w:t>25.</w:t>
      </w:r>
      <w:r>
        <w:rPr>
          <w:rFonts w:hint="eastAsia"/>
          <w:b/>
        </w:rPr>
        <w:t>保持反腐败斗争高压态势。</w:t>
      </w:r>
      <w:r>
        <w:rPr>
          <w:rFonts w:ascii="仿宋_GB2312" w:hAnsi="FZFSK--GBK1-0" w:hint="eastAsia"/>
          <w:bCs/>
          <w:color w:val="000000"/>
        </w:rPr>
        <w:t>始终保持永远在路上的战略定力，坚持无禁区、全覆盖、零容忍</w:t>
      </w:r>
      <w:r>
        <w:rPr>
          <w:rFonts w:ascii="仿宋_GB2312" w:hAnsi="FZFSK--GBK1-0" w:hint="eastAsia"/>
          <w:bCs/>
          <w:color w:val="000000"/>
        </w:rPr>
        <w:t>，坚持有案必查、有腐必惩。持续深化不敢腐、不能腐、不想腐一体推进。紧盯权力集中、资金密集、资源富集的部门，</w:t>
      </w:r>
      <w:r>
        <w:t>精准分析招生考试、基建工程、后勤保障、科研经费、招标采购、附属医院、校属企业、合作办学（培训班）等重点领域、关键部位的廉洁风险，以及可能存在的新型腐败和隐性腐败问题，找准切入点，选准突破口，</w:t>
      </w:r>
      <w:r>
        <w:rPr>
          <w:rFonts w:hint="eastAsia"/>
        </w:rPr>
        <w:t>深入</w:t>
      </w:r>
      <w:r>
        <w:t>开展专项治理。</w:t>
      </w:r>
    </w:p>
    <w:p w:rsidR="00A769C9" w:rsidP="00A769C9">
      <w:pPr>
        <w:spacing w:line="560" w:lineRule="exact"/>
        <w:ind w:firstLine="643"/>
        <w:rPr>
          <w:rFonts w:ascii="仿宋_GB2312" w:hAnsi="FZFSK--GBK1-0" w:hint="eastAsia"/>
          <w:bCs/>
          <w:color w:val="000000"/>
        </w:rPr>
      </w:pPr>
    </w:p>
    <w:p w:rsidR="00A769C9" w:rsidRPr="000D01DB" w:rsidP="00A769C9">
      <w:pPr>
        <w:spacing w:line="560" w:lineRule="exact"/>
        <w:ind w:firstLine="640"/>
        <w:rPr>
          <w:rFonts w:ascii="楷体_GB2312" w:eastAsia="楷体_GB2312"/>
          <w:b/>
          <w:bCs/>
          <w:color w:val="7030A0"/>
        </w:rPr>
      </w:pPr>
    </w:p>
    <w:p w:rsidR="00A769C9" w:rsidP="00A769C9">
      <w:pPr>
        <w:spacing w:line="560" w:lineRule="exact"/>
        <w:ind w:firstLine="640" w:firstLineChars="200"/>
        <w:rPr>
          <w:rFonts w:ascii="仿宋_GB2312" w:hAnsi="仿宋_GB2312"/>
        </w:rPr>
      </w:pPr>
    </w:p>
    <w:p w:rsidR="004D5EDD" w:rsidP="00A769C9">
      <w:pPr>
        <w:spacing w:line="560" w:lineRule="exact"/>
        <w:ind w:firstLine="640" w:firstLineChars="200"/>
        <w:rPr>
          <w:rFonts w:ascii="仿宋_GB2312" w:hAnsi="仿宋_GB2312" w:hint="eastAsia"/>
        </w:rPr>
      </w:pPr>
    </w:p>
    <w:p w:rsidR="00746671" w:rsidRPr="00A769C9" w:rsidP="00C71ED9">
      <w:pPr>
        <w:overflowPunct w:val="0"/>
        <w:spacing w:line="560" w:lineRule="exact"/>
      </w:pPr>
    </w:p>
    <w:tbl>
      <w:tblPr>
        <w:tblW w:w="0" w:type="auto"/>
        <w:tblBorders>
          <w:top w:val="single" w:sz="6" w:space="0" w:color="auto"/>
          <w:bottom w:val="single" w:sz="6" w:space="0" w:color="auto"/>
          <w:insideH w:val="single" w:sz="6" w:space="0" w:color="auto"/>
        </w:tblBorders>
        <w:tblLayout w:type="fixed"/>
        <w:tblCellMar>
          <w:left w:w="0" w:type="dxa"/>
          <w:right w:w="0" w:type="dxa"/>
        </w:tblCellMar>
        <w:tblLook w:val="0000"/>
      </w:tblPr>
      <w:tblGrid>
        <w:gridCol w:w="9060"/>
      </w:tblGrid>
      <w:tr w:rsidTr="00236D0D">
        <w:tblPrEx>
          <w:tblW w:w="0" w:type="auto"/>
          <w:tblBorders>
            <w:top w:val="single" w:sz="6" w:space="0" w:color="auto"/>
            <w:bottom w:val="single" w:sz="6" w:space="0" w:color="auto"/>
            <w:insideH w:val="single" w:sz="6" w:space="0" w:color="auto"/>
          </w:tblBorders>
          <w:tblLayout w:type="fixed"/>
          <w:tblCellMar>
            <w:left w:w="0" w:type="dxa"/>
            <w:right w:w="0" w:type="dxa"/>
          </w:tblCellMar>
          <w:tblLook w:val="0000"/>
        </w:tblPrEx>
        <w:trPr>
          <w:trHeight w:val="574"/>
        </w:trPr>
        <w:tc>
          <w:tcPr>
            <w:tcW w:w="9060" w:type="dxa"/>
            <w:tcMar>
              <w:top w:w="0" w:type="dxa"/>
              <w:left w:w="108" w:type="dxa"/>
              <w:bottom w:w="0" w:type="dxa"/>
              <w:right w:w="108" w:type="dxa"/>
            </w:tcMar>
            <w:vAlign w:val="center"/>
          </w:tcPr>
          <w:p w:rsidR="00746671" w:rsidRPr="00AF21AA" w:rsidP="00A769C9">
            <w:pPr>
              <w:snapToGrid w:val="0"/>
              <w:rPr>
                <w:sz w:val="28"/>
                <w:szCs w:val="28"/>
              </w:rPr>
            </w:pPr>
            <w:r w:rsidRPr="00AF21AA">
              <w:rPr>
                <w:sz w:val="28"/>
                <w:szCs w:val="28"/>
              </w:rPr>
              <w:t>　中山大学党委办公室</w:t>
            </w:r>
            <w:r w:rsidRPr="00AF21AA">
              <w:rPr>
                <w:sz w:val="28"/>
                <w:szCs w:val="28"/>
              </w:rPr>
              <w:t xml:space="preserve">     </w:t>
            </w:r>
            <w:r>
              <w:rPr>
                <w:sz w:val="28"/>
                <w:szCs w:val="28"/>
              </w:rPr>
              <w:t xml:space="preserve"> </w:t>
            </w:r>
            <w:r w:rsidRPr="00AF21AA">
              <w:rPr>
                <w:sz w:val="28"/>
                <w:szCs w:val="28"/>
              </w:rPr>
              <w:t xml:space="preserve"> </w:t>
            </w:r>
            <w:r>
              <w:rPr>
                <w:rFonts w:hint="eastAsia"/>
                <w:sz w:val="28"/>
                <w:szCs w:val="28"/>
              </w:rPr>
              <w:t>主动公开</w:t>
            </w:r>
            <w:r>
              <w:rPr>
                <w:sz w:val="28"/>
                <w:szCs w:val="28"/>
              </w:rPr>
              <w:t xml:space="preserve">   </w:t>
            </w:r>
            <w:r>
              <w:rPr>
                <w:rFonts w:hint="eastAsia"/>
                <w:sz w:val="28"/>
                <w:szCs w:val="28"/>
              </w:rPr>
              <w:t xml:space="preserve"> </w:t>
            </w:r>
            <w:r w:rsidRPr="00AF21AA">
              <w:rPr>
                <w:sz w:val="28"/>
                <w:szCs w:val="28"/>
              </w:rPr>
              <w:t xml:space="preserve">   </w:t>
            </w:r>
            <w:r>
              <w:rPr>
                <w:rFonts w:hint="eastAsia"/>
                <w:sz w:val="28"/>
                <w:szCs w:val="28"/>
              </w:rPr>
              <w:t xml:space="preserve"> </w:t>
            </w:r>
            <w:r w:rsidRPr="00AF21AA">
              <w:rPr>
                <w:sz w:val="28"/>
                <w:szCs w:val="28"/>
              </w:rPr>
              <w:t>20</w:t>
            </w:r>
            <w:r>
              <w:rPr>
                <w:sz w:val="28"/>
                <w:szCs w:val="28"/>
              </w:rPr>
              <w:t>2</w:t>
            </w:r>
            <w:r w:rsidR="00A769C9">
              <w:rPr>
                <w:sz w:val="28"/>
                <w:szCs w:val="28"/>
              </w:rPr>
              <w:t>3</w:t>
            </w:r>
            <w:r w:rsidRPr="00AF21AA">
              <w:rPr>
                <w:sz w:val="28"/>
                <w:szCs w:val="28"/>
              </w:rPr>
              <w:t>年</w:t>
            </w:r>
            <w:r>
              <w:rPr>
                <w:sz w:val="28"/>
                <w:szCs w:val="28"/>
              </w:rPr>
              <w:t>3</w:t>
            </w:r>
            <w:r w:rsidRPr="00AF21AA">
              <w:rPr>
                <w:sz w:val="28"/>
                <w:szCs w:val="28"/>
              </w:rPr>
              <w:t>月</w:t>
            </w:r>
            <w:r w:rsidR="00A769C9">
              <w:rPr>
                <w:sz w:val="28"/>
                <w:szCs w:val="28"/>
              </w:rPr>
              <w:t>29</w:t>
            </w:r>
            <w:r>
              <w:rPr>
                <w:rFonts w:hint="eastAsia"/>
                <w:sz w:val="28"/>
                <w:szCs w:val="28"/>
              </w:rPr>
              <w:t>日</w:t>
            </w:r>
            <w:r w:rsidRPr="00AF21AA">
              <w:rPr>
                <w:sz w:val="28"/>
                <w:szCs w:val="28"/>
              </w:rPr>
              <w:t>印发　</w:t>
            </w:r>
          </w:p>
        </w:tc>
      </w:tr>
    </w:tbl>
    <w:p w:rsidR="00746671" w:rsidRPr="00746671" w:rsidP="004D5EDD">
      <w:pPr>
        <w:spacing w:line="20" w:lineRule="exact"/>
        <w:rPr>
          <w:rFonts w:cs="Times New Roman"/>
        </w:rPr>
      </w:pPr>
    </w:p>
    <w:sectPr>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FZFSK--GBK1-0">
    <w:altName w:val="Cambria"/>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62D5766"/>
    <w:multiLevelType w:val="singleLevel"/>
    <w:tmpl w:val="D62D5766"/>
    <w:lvl w:ilvl="0">
      <w:start w:val="2"/>
      <w:numFmt w:val="decimal"/>
      <w:suff w:val="space"/>
      <w:lvlText w:val="%1."/>
      <w:lvlJc w:val="left"/>
    </w:lvl>
  </w:abstractNum>
  <w:abstractNum w:abstractNumId="1">
    <w:nsid w:val="262B6BC8"/>
    <w:multiLevelType w:val="singleLevel"/>
    <w:tmpl w:val="262B6BC8"/>
    <w:lvl w:ilvl="0">
      <w:start w:val="1"/>
      <w:numFmt w:val="chineseCountingThousand"/>
      <w:pStyle w:val="CharCharCharCharCharCharCharCharCharCharCharCharCharChar"/>
      <w:suff w:val="nothing"/>
      <w:lvlText w:val="%1、"/>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EA7"/>
    <w:rsid w:val="00000436"/>
    <w:rsid w:val="00000EA7"/>
    <w:rsid w:val="00002A84"/>
    <w:rsid w:val="00005074"/>
    <w:rsid w:val="00013125"/>
    <w:rsid w:val="00015A36"/>
    <w:rsid w:val="000170C8"/>
    <w:rsid w:val="00020BA5"/>
    <w:rsid w:val="00021976"/>
    <w:rsid w:val="00027B43"/>
    <w:rsid w:val="00033518"/>
    <w:rsid w:val="00034000"/>
    <w:rsid w:val="0003530F"/>
    <w:rsid w:val="00060165"/>
    <w:rsid w:val="00084493"/>
    <w:rsid w:val="000853F5"/>
    <w:rsid w:val="000923DE"/>
    <w:rsid w:val="00097330"/>
    <w:rsid w:val="000A0949"/>
    <w:rsid w:val="000D01DB"/>
    <w:rsid w:val="000D1746"/>
    <w:rsid w:val="000D337E"/>
    <w:rsid w:val="000E24FB"/>
    <w:rsid w:val="000F356E"/>
    <w:rsid w:val="000F6460"/>
    <w:rsid w:val="000F6C6A"/>
    <w:rsid w:val="000F6F55"/>
    <w:rsid w:val="00101CC5"/>
    <w:rsid w:val="001021E9"/>
    <w:rsid w:val="001068E0"/>
    <w:rsid w:val="00112F5C"/>
    <w:rsid w:val="00113831"/>
    <w:rsid w:val="001215A5"/>
    <w:rsid w:val="001236F4"/>
    <w:rsid w:val="001241A1"/>
    <w:rsid w:val="00136129"/>
    <w:rsid w:val="00140CEE"/>
    <w:rsid w:val="00152850"/>
    <w:rsid w:val="00153411"/>
    <w:rsid w:val="0015343C"/>
    <w:rsid w:val="00167EEE"/>
    <w:rsid w:val="001723DD"/>
    <w:rsid w:val="00172EE0"/>
    <w:rsid w:val="00181971"/>
    <w:rsid w:val="00183849"/>
    <w:rsid w:val="00191254"/>
    <w:rsid w:val="001927B7"/>
    <w:rsid w:val="001C1C9A"/>
    <w:rsid w:val="001C1D3A"/>
    <w:rsid w:val="001C32C7"/>
    <w:rsid w:val="001D09BC"/>
    <w:rsid w:val="001D2B09"/>
    <w:rsid w:val="001D3FC8"/>
    <w:rsid w:val="001D6463"/>
    <w:rsid w:val="001E16A0"/>
    <w:rsid w:val="001E4A56"/>
    <w:rsid w:val="001E5C76"/>
    <w:rsid w:val="001F126E"/>
    <w:rsid w:val="001F229D"/>
    <w:rsid w:val="00207449"/>
    <w:rsid w:val="002144D7"/>
    <w:rsid w:val="0021521C"/>
    <w:rsid w:val="00216145"/>
    <w:rsid w:val="00221B68"/>
    <w:rsid w:val="00225FF2"/>
    <w:rsid w:val="00240288"/>
    <w:rsid w:val="002456A1"/>
    <w:rsid w:val="00262349"/>
    <w:rsid w:val="0026440B"/>
    <w:rsid w:val="00264BF5"/>
    <w:rsid w:val="0026703F"/>
    <w:rsid w:val="002840B2"/>
    <w:rsid w:val="0028654C"/>
    <w:rsid w:val="00287A7B"/>
    <w:rsid w:val="002957EB"/>
    <w:rsid w:val="002A2BBD"/>
    <w:rsid w:val="002B3EEE"/>
    <w:rsid w:val="002C015E"/>
    <w:rsid w:val="002C34E2"/>
    <w:rsid w:val="002D381A"/>
    <w:rsid w:val="002D3AC2"/>
    <w:rsid w:val="002D63BC"/>
    <w:rsid w:val="002F3231"/>
    <w:rsid w:val="002F59B9"/>
    <w:rsid w:val="002F72C5"/>
    <w:rsid w:val="003174A1"/>
    <w:rsid w:val="00317695"/>
    <w:rsid w:val="00320B5E"/>
    <w:rsid w:val="00337ED7"/>
    <w:rsid w:val="00341970"/>
    <w:rsid w:val="003476F4"/>
    <w:rsid w:val="003630CB"/>
    <w:rsid w:val="00371BA6"/>
    <w:rsid w:val="0037481E"/>
    <w:rsid w:val="00383116"/>
    <w:rsid w:val="0038367A"/>
    <w:rsid w:val="00391427"/>
    <w:rsid w:val="00393513"/>
    <w:rsid w:val="003A77DD"/>
    <w:rsid w:val="003B0BFF"/>
    <w:rsid w:val="003B5B31"/>
    <w:rsid w:val="003E46C0"/>
    <w:rsid w:val="003E5864"/>
    <w:rsid w:val="003E5A3B"/>
    <w:rsid w:val="003F356A"/>
    <w:rsid w:val="00403390"/>
    <w:rsid w:val="00411649"/>
    <w:rsid w:val="004347BB"/>
    <w:rsid w:val="004401C9"/>
    <w:rsid w:val="00443BE9"/>
    <w:rsid w:val="004522EF"/>
    <w:rsid w:val="00466064"/>
    <w:rsid w:val="0047486D"/>
    <w:rsid w:val="004810CB"/>
    <w:rsid w:val="004827DE"/>
    <w:rsid w:val="00493AC0"/>
    <w:rsid w:val="004956DB"/>
    <w:rsid w:val="00497BBA"/>
    <w:rsid w:val="004A1434"/>
    <w:rsid w:val="004A2689"/>
    <w:rsid w:val="004A3FF9"/>
    <w:rsid w:val="004A5F18"/>
    <w:rsid w:val="004B024B"/>
    <w:rsid w:val="004B3AAE"/>
    <w:rsid w:val="004B3F97"/>
    <w:rsid w:val="004B54B1"/>
    <w:rsid w:val="004C0FB8"/>
    <w:rsid w:val="004C40C1"/>
    <w:rsid w:val="004C4B80"/>
    <w:rsid w:val="004D3538"/>
    <w:rsid w:val="004D5EDD"/>
    <w:rsid w:val="004E5E79"/>
    <w:rsid w:val="004F357A"/>
    <w:rsid w:val="004F720D"/>
    <w:rsid w:val="005012F8"/>
    <w:rsid w:val="00523585"/>
    <w:rsid w:val="00530E48"/>
    <w:rsid w:val="005318DE"/>
    <w:rsid w:val="00543530"/>
    <w:rsid w:val="00543F00"/>
    <w:rsid w:val="0054451D"/>
    <w:rsid w:val="00544D55"/>
    <w:rsid w:val="00551BFF"/>
    <w:rsid w:val="00572D90"/>
    <w:rsid w:val="00582DDB"/>
    <w:rsid w:val="00583820"/>
    <w:rsid w:val="00594D6A"/>
    <w:rsid w:val="0059693C"/>
    <w:rsid w:val="005B2130"/>
    <w:rsid w:val="005B2EAA"/>
    <w:rsid w:val="005C0B8E"/>
    <w:rsid w:val="005C13E0"/>
    <w:rsid w:val="005D6109"/>
    <w:rsid w:val="005D68E2"/>
    <w:rsid w:val="005E1989"/>
    <w:rsid w:val="005E2E78"/>
    <w:rsid w:val="005E5A8B"/>
    <w:rsid w:val="005F0739"/>
    <w:rsid w:val="005F32FC"/>
    <w:rsid w:val="005F3786"/>
    <w:rsid w:val="005F6F1D"/>
    <w:rsid w:val="00602593"/>
    <w:rsid w:val="00604D64"/>
    <w:rsid w:val="00605954"/>
    <w:rsid w:val="0061016A"/>
    <w:rsid w:val="00621E6D"/>
    <w:rsid w:val="00634029"/>
    <w:rsid w:val="00634C9B"/>
    <w:rsid w:val="006526EC"/>
    <w:rsid w:val="00654C88"/>
    <w:rsid w:val="0065614B"/>
    <w:rsid w:val="0066061F"/>
    <w:rsid w:val="00664605"/>
    <w:rsid w:val="00671146"/>
    <w:rsid w:val="006762B2"/>
    <w:rsid w:val="00677D67"/>
    <w:rsid w:val="00691EFE"/>
    <w:rsid w:val="006A1D17"/>
    <w:rsid w:val="006A3FA0"/>
    <w:rsid w:val="006A405F"/>
    <w:rsid w:val="006B5520"/>
    <w:rsid w:val="006D0E91"/>
    <w:rsid w:val="006D3EF3"/>
    <w:rsid w:val="006E11D8"/>
    <w:rsid w:val="006E343C"/>
    <w:rsid w:val="006E4100"/>
    <w:rsid w:val="006E49A1"/>
    <w:rsid w:val="006F52CC"/>
    <w:rsid w:val="00701096"/>
    <w:rsid w:val="007015E7"/>
    <w:rsid w:val="00710DBE"/>
    <w:rsid w:val="00720559"/>
    <w:rsid w:val="0073247D"/>
    <w:rsid w:val="007335A9"/>
    <w:rsid w:val="007348BB"/>
    <w:rsid w:val="00736BEE"/>
    <w:rsid w:val="00741458"/>
    <w:rsid w:val="00746671"/>
    <w:rsid w:val="00753494"/>
    <w:rsid w:val="00762BD0"/>
    <w:rsid w:val="007676CB"/>
    <w:rsid w:val="00784680"/>
    <w:rsid w:val="007C1A34"/>
    <w:rsid w:val="007C1A9D"/>
    <w:rsid w:val="007C4B23"/>
    <w:rsid w:val="007E7CAA"/>
    <w:rsid w:val="007F08A0"/>
    <w:rsid w:val="007F458E"/>
    <w:rsid w:val="007F7014"/>
    <w:rsid w:val="00801E11"/>
    <w:rsid w:val="00802FFA"/>
    <w:rsid w:val="00805A43"/>
    <w:rsid w:val="0081239B"/>
    <w:rsid w:val="0081325E"/>
    <w:rsid w:val="0081777E"/>
    <w:rsid w:val="00825295"/>
    <w:rsid w:val="00833FFB"/>
    <w:rsid w:val="00855219"/>
    <w:rsid w:val="00857FEE"/>
    <w:rsid w:val="00862C2E"/>
    <w:rsid w:val="00864B12"/>
    <w:rsid w:val="00876A82"/>
    <w:rsid w:val="0088106B"/>
    <w:rsid w:val="00882CF5"/>
    <w:rsid w:val="008915D0"/>
    <w:rsid w:val="00892F12"/>
    <w:rsid w:val="008A66D9"/>
    <w:rsid w:val="008A7723"/>
    <w:rsid w:val="008C0D89"/>
    <w:rsid w:val="008C1D8B"/>
    <w:rsid w:val="008C679F"/>
    <w:rsid w:val="008E727F"/>
    <w:rsid w:val="0090052D"/>
    <w:rsid w:val="009063AD"/>
    <w:rsid w:val="00914A04"/>
    <w:rsid w:val="009151C9"/>
    <w:rsid w:val="00953013"/>
    <w:rsid w:val="00955B1D"/>
    <w:rsid w:val="00965E4A"/>
    <w:rsid w:val="009949E2"/>
    <w:rsid w:val="009C2D61"/>
    <w:rsid w:val="009D38AD"/>
    <w:rsid w:val="009D3DF6"/>
    <w:rsid w:val="009D52E1"/>
    <w:rsid w:val="009E57B5"/>
    <w:rsid w:val="009F7FA9"/>
    <w:rsid w:val="00A06D08"/>
    <w:rsid w:val="00A37486"/>
    <w:rsid w:val="00A40822"/>
    <w:rsid w:val="00A45A4A"/>
    <w:rsid w:val="00A47BF7"/>
    <w:rsid w:val="00A5394C"/>
    <w:rsid w:val="00A62E73"/>
    <w:rsid w:val="00A64640"/>
    <w:rsid w:val="00A7124F"/>
    <w:rsid w:val="00A73CCA"/>
    <w:rsid w:val="00A7575A"/>
    <w:rsid w:val="00A769C9"/>
    <w:rsid w:val="00A84D06"/>
    <w:rsid w:val="00A879F1"/>
    <w:rsid w:val="00AB1188"/>
    <w:rsid w:val="00AC4BD1"/>
    <w:rsid w:val="00AC6A83"/>
    <w:rsid w:val="00AE3FF6"/>
    <w:rsid w:val="00AF21AA"/>
    <w:rsid w:val="00AF4269"/>
    <w:rsid w:val="00B009E6"/>
    <w:rsid w:val="00B01E9B"/>
    <w:rsid w:val="00B10563"/>
    <w:rsid w:val="00B24E4F"/>
    <w:rsid w:val="00B27104"/>
    <w:rsid w:val="00B4373B"/>
    <w:rsid w:val="00B470B7"/>
    <w:rsid w:val="00B66301"/>
    <w:rsid w:val="00B922B4"/>
    <w:rsid w:val="00B93B5D"/>
    <w:rsid w:val="00BA041B"/>
    <w:rsid w:val="00BA6718"/>
    <w:rsid w:val="00BA70BE"/>
    <w:rsid w:val="00BC78E2"/>
    <w:rsid w:val="00BD23AB"/>
    <w:rsid w:val="00BD2C1E"/>
    <w:rsid w:val="00BD4204"/>
    <w:rsid w:val="00BE36F3"/>
    <w:rsid w:val="00BF426C"/>
    <w:rsid w:val="00BF59ED"/>
    <w:rsid w:val="00C05669"/>
    <w:rsid w:val="00C07CF9"/>
    <w:rsid w:val="00C07DA8"/>
    <w:rsid w:val="00C216CA"/>
    <w:rsid w:val="00C248EC"/>
    <w:rsid w:val="00C360CA"/>
    <w:rsid w:val="00C36251"/>
    <w:rsid w:val="00C409A7"/>
    <w:rsid w:val="00C566F2"/>
    <w:rsid w:val="00C631D9"/>
    <w:rsid w:val="00C71ED9"/>
    <w:rsid w:val="00C72E05"/>
    <w:rsid w:val="00C84B64"/>
    <w:rsid w:val="00C92958"/>
    <w:rsid w:val="00C96224"/>
    <w:rsid w:val="00CA5919"/>
    <w:rsid w:val="00CA7CF0"/>
    <w:rsid w:val="00CC1EF1"/>
    <w:rsid w:val="00CC57C5"/>
    <w:rsid w:val="00CD126D"/>
    <w:rsid w:val="00CD194F"/>
    <w:rsid w:val="00CD79A3"/>
    <w:rsid w:val="00CE474A"/>
    <w:rsid w:val="00CE688D"/>
    <w:rsid w:val="00CF3752"/>
    <w:rsid w:val="00D2090A"/>
    <w:rsid w:val="00D25525"/>
    <w:rsid w:val="00D3111F"/>
    <w:rsid w:val="00D32E57"/>
    <w:rsid w:val="00D44941"/>
    <w:rsid w:val="00D617E0"/>
    <w:rsid w:val="00D72E01"/>
    <w:rsid w:val="00D81990"/>
    <w:rsid w:val="00D84966"/>
    <w:rsid w:val="00DA08BA"/>
    <w:rsid w:val="00DA6593"/>
    <w:rsid w:val="00DB600F"/>
    <w:rsid w:val="00DB6467"/>
    <w:rsid w:val="00DC180C"/>
    <w:rsid w:val="00DE1CAE"/>
    <w:rsid w:val="00DE69D3"/>
    <w:rsid w:val="00DE7B25"/>
    <w:rsid w:val="00DF2180"/>
    <w:rsid w:val="00E1179A"/>
    <w:rsid w:val="00E118C8"/>
    <w:rsid w:val="00E30111"/>
    <w:rsid w:val="00E325D4"/>
    <w:rsid w:val="00E4137C"/>
    <w:rsid w:val="00E43CDC"/>
    <w:rsid w:val="00E476C9"/>
    <w:rsid w:val="00E60537"/>
    <w:rsid w:val="00E64A6D"/>
    <w:rsid w:val="00E75126"/>
    <w:rsid w:val="00E90318"/>
    <w:rsid w:val="00E94A5D"/>
    <w:rsid w:val="00E955A3"/>
    <w:rsid w:val="00EA1473"/>
    <w:rsid w:val="00ED6464"/>
    <w:rsid w:val="00EF32E1"/>
    <w:rsid w:val="00EF5CE3"/>
    <w:rsid w:val="00F05126"/>
    <w:rsid w:val="00F125EF"/>
    <w:rsid w:val="00F22A41"/>
    <w:rsid w:val="00F324EC"/>
    <w:rsid w:val="00F3571B"/>
    <w:rsid w:val="00F42003"/>
    <w:rsid w:val="00F43DCB"/>
    <w:rsid w:val="00F47DD3"/>
    <w:rsid w:val="00F505DD"/>
    <w:rsid w:val="00F527F4"/>
    <w:rsid w:val="00F53C39"/>
    <w:rsid w:val="00F67823"/>
    <w:rsid w:val="00F804DC"/>
    <w:rsid w:val="00F8138D"/>
    <w:rsid w:val="00F9090D"/>
    <w:rsid w:val="00F92740"/>
    <w:rsid w:val="00F9356A"/>
    <w:rsid w:val="00FA691B"/>
    <w:rsid w:val="00FB2593"/>
    <w:rsid w:val="00FB382A"/>
    <w:rsid w:val="00FD293D"/>
    <w:rsid w:val="00FD68AD"/>
    <w:rsid w:val="00FE04CB"/>
    <w:rsid w:val="00FE1C76"/>
    <w:rsid w:val="00FE3D59"/>
    <w:rsid w:val="00FF12BE"/>
    <w:rsid w:val="00FF181E"/>
    <w:rsid w:val="134B393A"/>
    <w:rsid w:val="25683F68"/>
    <w:rsid w:val="2EEE789B"/>
    <w:rsid w:val="5F3C53E8"/>
    <w:rsid w:val="6B5D06B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9DED9E80-922C-4C48-A77B-17AAF0FE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540" w:lineRule="atLeast"/>
    </w:pPr>
    <w:rPr>
      <w:rFonts w:ascii="Times New Roman" w:eastAsia="仿宋_GB2312" w:hAnsi="Times New Roman" w:cs="黑体"/>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2"/>
    <w:uiPriority w:val="99"/>
    <w:semiHidden/>
    <w:unhideWhenUsed/>
    <w:pPr>
      <w:spacing w:line="240" w:lineRule="auto"/>
    </w:pPr>
    <w:rPr>
      <w:sz w:val="18"/>
      <w:szCs w:val="18"/>
    </w:rPr>
  </w:style>
  <w:style w:type="paragraph" w:styleId="Footer">
    <w:name w:val="footer"/>
    <w:basedOn w:val="Normal"/>
    <w:link w:val="a0"/>
    <w:uiPriority w:val="99"/>
    <w:unhideWhenUsed/>
    <w:pPr>
      <w:tabs>
        <w:tab w:val="center" w:pos="4153"/>
        <w:tab w:val="right" w:pos="8306"/>
      </w:tabs>
      <w:snapToGrid w:val="0"/>
      <w:spacing w:line="240" w:lineRule="atLeas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
    <w:name w:val="页眉 字符"/>
    <w:basedOn w:val="DefaultParagraphFont"/>
    <w:link w:val="Header"/>
    <w:uiPriority w:val="99"/>
    <w:rPr>
      <w:rFonts w:ascii="Times New Roman" w:eastAsia="仿宋_GB2312" w:hAnsi="Times New Roman" w:cs="黑体"/>
      <w:sz w:val="18"/>
      <w:szCs w:val="18"/>
    </w:rPr>
  </w:style>
  <w:style w:type="character" w:customStyle="1" w:styleId="a0">
    <w:name w:val="页脚 字符"/>
    <w:basedOn w:val="DefaultParagraphFont"/>
    <w:link w:val="Footer"/>
    <w:uiPriority w:val="99"/>
    <w:rPr>
      <w:rFonts w:ascii="Times New Roman" w:eastAsia="仿宋_GB2312" w:hAnsi="Times New Roman" w:cs="黑体"/>
      <w:sz w:val="18"/>
      <w:szCs w:val="18"/>
    </w:rPr>
  </w:style>
  <w:style w:type="paragraph" w:styleId="ListParagraph">
    <w:name w:val="List Paragraph"/>
    <w:basedOn w:val="Normal"/>
    <w:uiPriority w:val="34"/>
    <w:qFormat/>
    <w:pPr>
      <w:ind w:firstLine="420" w:firstLineChars="200"/>
    </w:pPr>
  </w:style>
  <w:style w:type="paragraph" w:customStyle="1" w:styleId="a1">
    <w:name w:val="中大标题"/>
    <w:basedOn w:val="Normal"/>
    <w:next w:val="Normal"/>
    <w:link w:val="Char"/>
    <w:uiPriority w:val="1"/>
    <w:qFormat/>
    <w:pPr>
      <w:adjustRightInd w:val="0"/>
      <w:snapToGrid w:val="0"/>
      <w:spacing w:line="240" w:lineRule="auto"/>
      <w:jc w:val="center"/>
      <w:outlineLvl w:val="0"/>
    </w:pPr>
    <w:rPr>
      <w:rFonts w:eastAsia="方正小标宋简体"/>
      <w:sz w:val="44"/>
      <w:szCs w:val="44"/>
    </w:rPr>
  </w:style>
  <w:style w:type="character" w:customStyle="1" w:styleId="Char">
    <w:name w:val="中大标题 Char"/>
    <w:link w:val="a1"/>
    <w:uiPriority w:val="1"/>
    <w:qFormat/>
    <w:rPr>
      <w:rFonts w:ascii="Times New Roman" w:eastAsia="方正小标宋简体" w:hAnsi="Times New Roman" w:cs="黑体"/>
      <w:sz w:val="44"/>
      <w:szCs w:val="44"/>
    </w:rPr>
  </w:style>
  <w:style w:type="character" w:customStyle="1" w:styleId="a2">
    <w:name w:val="批注框文本 字符"/>
    <w:basedOn w:val="DefaultParagraphFont"/>
    <w:link w:val="BalloonText"/>
    <w:uiPriority w:val="99"/>
    <w:semiHidden/>
    <w:rPr>
      <w:rFonts w:ascii="Times New Roman" w:eastAsia="仿宋_GB2312" w:hAnsi="Times New Roman" w:cs="黑体"/>
      <w:sz w:val="18"/>
      <w:szCs w:val="18"/>
    </w:rPr>
  </w:style>
  <w:style w:type="character" w:styleId="PlaceholderText">
    <w:name w:val="Placeholder Text"/>
    <w:basedOn w:val="DefaultParagraphFont"/>
    <w:uiPriority w:val="99"/>
    <w:semiHidden/>
    <w:qFormat/>
    <w:rPr>
      <w:color w:val="808080"/>
    </w:rPr>
  </w:style>
  <w:style w:type="paragraph" w:customStyle="1" w:styleId="CharCharCharCharCharCharCharCharCharCharCharCharCharChar">
    <w:name w:val="Char Char Char Char Char Char Char Char Char Char Char Char Char Char"/>
    <w:basedOn w:val="Normal"/>
    <w:qFormat/>
    <w:pPr>
      <w:widowControl w:val="0"/>
      <w:numPr>
        <w:numId w:val="1"/>
      </w:numPr>
      <w:spacing w:line="240" w:lineRule="auto"/>
      <w:jc w:val="both"/>
    </w:pPr>
    <w:rPr>
      <w:rFonts w:eastAsia="宋体" w:cs="Times New Roman"/>
      <w:sz w:val="21"/>
      <w:szCs w:val="24"/>
    </w:rPr>
  </w:style>
  <w:style w:type="character" w:customStyle="1" w:styleId="fontstyle21">
    <w:name w:val="fontstyle21"/>
    <w:rsid w:val="00746671"/>
    <w:rPr>
      <w:rFonts w:ascii="FZFSK--GBK1-0" w:hAnsi="FZFSK--GBK1-0" w:hint="default"/>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15</Pages>
  <Words>1227</Words>
  <Characters>6998</Characters>
  <Application>Microsoft Office Word</Application>
  <DocSecurity>0</DocSecurity>
  <Lines>58</Lines>
  <Paragraphs>16</Paragraphs>
  <ScaleCrop>false</ScaleCrop>
  <Company>Hewlett-Packard Company</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新楠</dc:creator>
  <cp:lastModifiedBy>党委办公室</cp:lastModifiedBy>
  <cp:revision>117</cp:revision>
  <cp:lastPrinted>2022-02-28T04:11:00Z</cp:lastPrinted>
  <dcterms:created xsi:type="dcterms:W3CDTF">2019-04-08T02:27:00Z</dcterms:created>
  <dcterms:modified xsi:type="dcterms:W3CDTF">2023-03-30T01:06:00Z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